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2026年度湖南省水利工程乙级质量检测单位“双随机、一公开”抽查结果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</w:rPr>
      </w:pPr>
    </w:p>
    <w:tbl>
      <w:tblPr>
        <w:tblStyle w:val="3"/>
        <w:tblW w:w="1458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702"/>
        <w:gridCol w:w="6540"/>
        <w:gridCol w:w="3041"/>
        <w:gridCol w:w="2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tblHeader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3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处理意见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处理依据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0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湖南湘实工程科技有限公司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1.满足资质资格的人员数量不满足要求；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2.部分试验设备存在未按要求进行存放管理、状态确认标识过期、设备无法正常开启、未填写运行记录、校准数据与检测报告参数不符的问题；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3.部分检测报告存在未按规定要求进行记录、逻辑错误、数据存疑的问题，部分检测原始记录存在涂改现象；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4.部分留样样品未按要求进行封存管理；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5.拌和间设备堆放混乱，分区不明确，且现场未设置骨料试验间；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6.有关人员资格未在全国水利建设市场监管平台、湖南省水利建设市场综合监管系统平台进行信息登记。</w:t>
            </w:r>
          </w:p>
        </w:tc>
        <w:tc>
          <w:tcPr>
            <w:tcW w:w="3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限期整改，人员资质资格类问题限期三个月，其他问题期限一个月；人员资质资格类问题整改不到位或逾期未整改的，撤回资质证书。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1.《中华人民共和国行政许可法》第八条第二款；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2.《水利工程质量检测管理规定》（水利部令第36号）第二十二条、第二十七条第（六）项；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3.《湖南省水利工程质量检测管理办法》附件2。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6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益阳市洞庭水利水电工程质量检测咨询有限公司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1.满足资质资格的人员数量不满足要求；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2.部分检测原始记录不规范，存在涂改、未签字、未编号的问题；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3.存在超检测能力范围出具检测报告的问题；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4.部分试验设备未按要求进行台账管理，缺少记录确认、检定校准证书、使用说明书、发票、率定等资料；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5.部分试验仪器设备缺少运行监控记录；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6.未能提供检查组所提出的相关工程项目的检测资料，部分检测报告无原始记录；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7.有关人员资格未在全国水利建设市场监管平台、湖南省水利建设市场综合监管系统平台进行信息登记。</w:t>
            </w:r>
          </w:p>
        </w:tc>
        <w:tc>
          <w:tcPr>
            <w:tcW w:w="3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限期整改，人员资质资格类问题限期三个月，其他问题期限一个月；人员资质资格类问题整改不到位或逾期未整改的，撤回资质证书。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1.《中华人民共和国行政许可法》第八条第二款；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2.《水利工程质量检测管理规定》（水利部令第36号）第二十二条、第二十七条第（六）（七）项；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3.《湖南省水利工程质量检测管理办法》附件2。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99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湘西自治州长城水电工程材料检测有限公司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1.满足资质资格的人员数量不满足要求；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2.部分试验设备未按要求进行存放管理、标识、率定和校准数据，个别检测报告数据与设备型号参数不符；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3.部分检测原始记录不规范，存在涂改、未签字的问题；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4.部分检测依据标准规范未及时更新；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5.部分检测试验方法不符合相关规程规范要求；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6.有关人员资格未在全国水利建设市场监管平台、湖南省水利建设市场综合监管系统平台进行信息登记。</w:t>
            </w:r>
          </w:p>
        </w:tc>
        <w:tc>
          <w:tcPr>
            <w:tcW w:w="3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限期整改，人员资质资格类问题限期三个月，其他问题期限一个月；人员资质资格类问题整改不到位或逾期未整改的，撤回资质证书。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1.《中华人民共和国行政许可法》第八条第二款；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2.《水利工程质量检测管理规定》（水利部令第36号）第二十二条、第二十七条第（六）项；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3.《湖南省水利工程质量检测管理办法》附件2。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湖南四兴工程检测咨询有限公司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1.部分试验设备未按要求进行存放管理、标识、率定，缺少运行记录；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2.部分检测原始记录不满足相关规程规范要求；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3.有关人员资格未在全国水利建设市场监管平台、湖南省水利建设市场综合监管系统平台进行信息登记。</w:t>
            </w:r>
          </w:p>
        </w:tc>
        <w:tc>
          <w:tcPr>
            <w:tcW w:w="3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限期整改，期限一个月。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1.《水利工程质量检测管理规定》（水利部令第36号）第二十二条、第二十七条第（六）项；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2.《湖南省水利工程质量检测管理办法》附件2。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8" w:hRule="atLeast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湖南昭祥检测技术有限公司</w:t>
            </w:r>
          </w:p>
        </w:tc>
        <w:tc>
          <w:tcPr>
            <w:tcW w:w="6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1.满足资质资格的人员数量不满足要求；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2.部分试验设备未按要求进行存放管理、标识，缺少运行记录，个别设备存在无全套组件、有效期过期的问题；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3.部分检测原始记录不规范，存在无数据、无检测日期、数据未换算、无修正系数的问题；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4.个别检测活动未按国家和行业标准开展；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5.有关人员资格未在全国水利建设市场监管平台、湖南省水利建设市场综合监管系统平台进行信息登记。</w:t>
            </w:r>
          </w:p>
        </w:tc>
        <w:tc>
          <w:tcPr>
            <w:tcW w:w="3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限期整改，人员资质资格类问题限期三个月，其他问题期限一个月；人员资质资格类问题整改不到位或逾期未整改的，撤回资质证书。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1.《中华人民共和国行政许可法》第八条第二款；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2.《水利工程质量检测管理规定》（水利部令第36号）第二十二条、第二十七条第（六）（七）项；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3.《湖南省水利工程质量检测管理办法》附件2。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/>
    <w:sectPr>
      <w:footerReference r:id="rId3" w:type="default"/>
      <w:pgSz w:w="16838" w:h="11906" w:orient="landscape"/>
      <w:pgMar w:top="1701" w:right="1417" w:bottom="1701" w:left="1417" w:header="851" w:footer="1417" w:gutter="0"/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sdt>
      <w:sdtPr>
        <w:rPr>
          <w:rFonts w:hint="default" w:ascii="Times New Roman" w:hAnsi="Times New Roman" w:cs="Times New Roman"/>
        </w:rPr>
        <w:id w:val="1962144532"/>
        <w:docPartObj>
          <w:docPartGallery w:val="autotext"/>
        </w:docPartObj>
      </w:sdtPr>
      <w:sdtEndPr>
        <w:rPr>
          <w:rFonts w:hint="default" w:ascii="Times New Roman" w:hAnsi="Times New Roman" w:cs="Times New Roman"/>
        </w:rPr>
      </w:sdtEndPr>
      <w:sdtContent>
        <w:r>
          <w:rPr>
            <w:rFonts w:hint="default" w:ascii="Times New Roman" w:hAnsi="Times New Roman" w:cs="Times New Roman"/>
            <w:sz w:val="28"/>
            <w:szCs w:val="28"/>
          </w:rPr>
          <w:t xml:space="preserve">— </w:t>
        </w:r>
        <w:r>
          <w:rPr>
            <w:rFonts w:hint="default" w:ascii="Times New Roman" w:hAnsi="Times New Roman" w:cs="Times New Roman"/>
            <w:sz w:val="28"/>
            <w:szCs w:val="28"/>
          </w:rPr>
          <w:fldChar w:fldCharType="begin"/>
        </w:r>
        <w:r>
          <w:rPr>
            <w:rFonts w:hint="default"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hint="default"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hint="default" w:ascii="Times New Roman" w:hAnsi="Times New Roman" w:cs="Times New Roman"/>
            <w:sz w:val="28"/>
            <w:szCs w:val="28"/>
            <w:lang w:val="zh-CN"/>
          </w:rPr>
          <w:t>395</w:t>
        </w:r>
        <w:r>
          <w:rPr>
            <w:rFonts w:hint="default"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default" w:ascii="Times New Roman" w:hAnsi="Times New Roman" w:cs="Times New Roman"/>
            <w:sz w:val="28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A0005"/>
    <w:rsid w:val="7FFA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2026-10-29T08:55:00Z</dcterms:created>
  <dc:creator>xjkp-708</dc:creator>
  <cp:lastModifiedBy>xjkp-708</cp:lastModifiedBy>
  <dcterms:modified xsi:type="dcterms:W3CDTF">2026-10-29T08:55:59Z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