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center"/>
        <w:rPr>
          <w:rFonts w:ascii="隶书" w:hAnsi="华文中宋" w:eastAsia="隶书"/>
          <w:sz w:val="84"/>
          <w:szCs w:val="84"/>
        </w:rPr>
      </w:pPr>
    </w:p>
    <w:p>
      <w:pPr>
        <w:pStyle w:val="24"/>
        <w:jc w:val="center"/>
        <w:rPr>
          <w:rFonts w:ascii="隶书" w:hAnsi="华文中宋" w:eastAsia="隶书"/>
          <w:bCs/>
          <w:sz w:val="84"/>
          <w:szCs w:val="84"/>
        </w:rPr>
      </w:pPr>
      <w:r>
        <w:rPr>
          <w:rFonts w:hint="eastAsia" w:ascii="隶书" w:hAnsi="华文中宋" w:eastAsia="隶书"/>
          <w:sz w:val="84"/>
          <w:szCs w:val="84"/>
        </w:rPr>
        <w:t>政府采购</w:t>
      </w:r>
    </w:p>
    <w:p>
      <w:pPr>
        <w:pStyle w:val="24"/>
        <w:adjustRightInd w:val="0"/>
        <w:snapToGrid w:val="0"/>
        <w:spacing w:line="360" w:lineRule="auto"/>
        <w:jc w:val="center"/>
        <w:rPr>
          <w:rFonts w:ascii="隶书" w:hAnsi="华文中宋" w:eastAsia="隶书"/>
          <w:sz w:val="84"/>
          <w:szCs w:val="84"/>
        </w:rPr>
      </w:pPr>
      <w:r>
        <w:rPr>
          <w:rFonts w:hint="eastAsia" w:ascii="隶书" w:hAnsi="华文中宋" w:eastAsia="隶书"/>
          <w:sz w:val="84"/>
          <w:szCs w:val="84"/>
        </w:rPr>
        <w:t>竞争性谈判文件</w:t>
      </w:r>
    </w:p>
    <w:p>
      <w:pPr>
        <w:pStyle w:val="24"/>
        <w:adjustRightInd w:val="0"/>
        <w:snapToGrid w:val="0"/>
        <w:spacing w:line="360" w:lineRule="auto"/>
        <w:ind w:left="2563" w:leftChars="554" w:hanging="1400" w:hangingChars="700"/>
        <w:rPr>
          <w:rFonts w:ascii="Tahoma" w:hAnsi="Tahoma" w:cs="Tahoma"/>
          <w:sz w:val="20"/>
          <w:szCs w:val="20"/>
        </w:rPr>
      </w:pPr>
    </w:p>
    <w:p>
      <w:pPr>
        <w:pStyle w:val="24"/>
        <w:adjustRightInd w:val="0"/>
        <w:snapToGrid w:val="0"/>
        <w:spacing w:line="360" w:lineRule="auto"/>
        <w:ind w:left="2563" w:leftChars="554" w:hanging="1400" w:hangingChars="700"/>
        <w:rPr>
          <w:rFonts w:ascii="Tahoma" w:hAnsi="Tahoma" w:cs="Tahoma"/>
          <w:sz w:val="20"/>
          <w:szCs w:val="20"/>
        </w:rPr>
      </w:pPr>
    </w:p>
    <w:p>
      <w:pPr>
        <w:adjustRightInd w:val="0"/>
        <w:snapToGrid w:val="0"/>
        <w:spacing w:line="360" w:lineRule="auto"/>
        <w:ind w:left="3472" w:leftChars="506" w:hanging="2409" w:hangingChars="750"/>
        <w:rPr>
          <w:b/>
          <w:szCs w:val="21"/>
        </w:rPr>
      </w:pPr>
      <w:r>
        <w:rPr>
          <w:rFonts w:hint="eastAsia" w:hAnsi="宋体"/>
          <w:b/>
          <w:sz w:val="32"/>
          <w:szCs w:val="32"/>
        </w:rPr>
        <w:t>采购项目名称：湖南省水利厅眼科设备等采购项目竞争性谈判</w:t>
      </w:r>
    </w:p>
    <w:p>
      <w:pPr>
        <w:adjustRightInd w:val="0"/>
        <w:snapToGrid w:val="0"/>
        <w:spacing w:line="360" w:lineRule="auto"/>
        <w:ind w:firstLine="1124" w:firstLineChars="350"/>
        <w:rPr>
          <w:rFonts w:hAnsi="宋体"/>
          <w:b/>
          <w:sz w:val="32"/>
          <w:szCs w:val="32"/>
        </w:rPr>
      </w:pPr>
      <w:r>
        <w:rPr>
          <w:rFonts w:hint="eastAsia" w:hAnsi="宋体"/>
          <w:b/>
          <w:sz w:val="32"/>
          <w:szCs w:val="32"/>
        </w:rPr>
        <w:t>政府采购编号：湘财采计[2020]003678号</w:t>
      </w:r>
    </w:p>
    <w:p>
      <w:pPr>
        <w:adjustRightInd w:val="0"/>
        <w:snapToGrid w:val="0"/>
        <w:spacing w:line="360" w:lineRule="auto"/>
        <w:ind w:firstLine="1124" w:firstLineChars="350"/>
        <w:rPr>
          <w:rFonts w:hAnsi="宋体"/>
          <w:b/>
          <w:sz w:val="32"/>
          <w:szCs w:val="32"/>
          <w:u w:val="single"/>
        </w:rPr>
      </w:pPr>
      <w:r>
        <w:rPr>
          <w:rFonts w:hint="eastAsia" w:hAnsi="宋体"/>
          <w:b/>
          <w:sz w:val="32"/>
          <w:szCs w:val="32"/>
        </w:rPr>
        <w:t>采购代理编号：ZQXM2020-0039</w:t>
      </w:r>
    </w:p>
    <w:p>
      <w:pPr>
        <w:adjustRightInd w:val="0"/>
        <w:snapToGrid w:val="0"/>
        <w:spacing w:line="360" w:lineRule="auto"/>
        <w:ind w:firstLine="1124" w:firstLineChars="350"/>
        <w:rPr>
          <w:rFonts w:hAnsi="宋体"/>
          <w:b/>
          <w:sz w:val="32"/>
          <w:szCs w:val="32"/>
          <w:u w:val="single"/>
        </w:rPr>
      </w:pPr>
      <w:r>
        <w:rPr>
          <w:rFonts w:hint="eastAsia" w:hAnsi="宋体"/>
          <w:b/>
          <w:sz w:val="32"/>
          <w:szCs w:val="32"/>
        </w:rPr>
        <w:t>采   购   人：湖南省水利厅</w:t>
      </w:r>
    </w:p>
    <w:p>
      <w:pPr>
        <w:adjustRightInd w:val="0"/>
        <w:snapToGrid w:val="0"/>
        <w:spacing w:line="360" w:lineRule="auto"/>
        <w:ind w:firstLine="1124" w:firstLineChars="350"/>
        <w:rPr>
          <w:rFonts w:hAnsi="宋体"/>
          <w:sz w:val="32"/>
          <w:szCs w:val="32"/>
        </w:rPr>
      </w:pPr>
      <w:r>
        <w:rPr>
          <w:rFonts w:hint="eastAsia" w:ascii="宋体"/>
          <w:b/>
          <w:sz w:val="32"/>
          <w:szCs w:val="21"/>
        </w:rPr>
        <w:t>采购代理机构：湖南中泉项目管理有限公司</w:t>
      </w:r>
    </w:p>
    <w:p>
      <w:pPr>
        <w:pStyle w:val="24"/>
        <w:adjustRightInd w:val="0"/>
        <w:snapToGrid w:val="0"/>
        <w:spacing w:line="360" w:lineRule="auto"/>
        <w:ind w:left="645" w:leftChars="307"/>
        <w:jc w:val="center"/>
        <w:rPr>
          <w:b/>
          <w:sz w:val="32"/>
          <w:szCs w:val="32"/>
        </w:rPr>
      </w:pPr>
    </w:p>
    <w:p>
      <w:pPr>
        <w:pStyle w:val="24"/>
        <w:adjustRightInd w:val="0"/>
        <w:snapToGrid w:val="0"/>
        <w:spacing w:line="360" w:lineRule="auto"/>
        <w:jc w:val="center"/>
        <w:rPr>
          <w:rFonts w:ascii="仿宋_GB2312" w:hAnsi="宋体" w:eastAsia="仿宋_GB2312"/>
          <w:b/>
          <w:sz w:val="32"/>
        </w:rPr>
      </w:pPr>
    </w:p>
    <w:p>
      <w:pPr>
        <w:pStyle w:val="24"/>
        <w:adjustRightInd w:val="0"/>
        <w:snapToGrid w:val="0"/>
        <w:spacing w:line="360" w:lineRule="auto"/>
        <w:jc w:val="center"/>
        <w:rPr>
          <w:rFonts w:ascii="仿宋_GB2312" w:hAnsi="宋体" w:eastAsia="仿宋_GB2312"/>
          <w:b/>
          <w:sz w:val="32"/>
        </w:rPr>
      </w:pPr>
    </w:p>
    <w:p>
      <w:pPr>
        <w:pStyle w:val="24"/>
        <w:adjustRightInd w:val="0"/>
        <w:snapToGrid w:val="0"/>
        <w:spacing w:line="360" w:lineRule="auto"/>
        <w:jc w:val="center"/>
        <w:rPr>
          <w:rFonts w:ascii="仿宋_GB2312" w:hAnsi="宋体" w:eastAsia="仿宋_GB2312"/>
          <w:b/>
          <w:sz w:val="32"/>
        </w:rPr>
      </w:pPr>
    </w:p>
    <w:p>
      <w:pPr>
        <w:pStyle w:val="24"/>
        <w:adjustRightInd w:val="0"/>
        <w:snapToGrid w:val="0"/>
        <w:spacing w:line="360" w:lineRule="auto"/>
        <w:rPr>
          <w:rFonts w:ascii="仿宋_GB2312" w:hAnsi="宋体" w:eastAsia="仿宋_GB2312"/>
          <w:b/>
          <w:sz w:val="32"/>
        </w:rPr>
      </w:pPr>
    </w:p>
    <w:p>
      <w:pPr>
        <w:pStyle w:val="24"/>
        <w:adjustRightInd w:val="0"/>
        <w:snapToGrid w:val="0"/>
        <w:spacing w:line="360" w:lineRule="auto"/>
        <w:jc w:val="center"/>
        <w:rPr>
          <w:rFonts w:hAnsi="宋体"/>
          <w:b/>
          <w:sz w:val="32"/>
        </w:rPr>
      </w:pPr>
      <w:r>
        <w:rPr>
          <w:rFonts w:hint="eastAsia" w:hAnsi="宋体"/>
          <w:b/>
          <w:sz w:val="32"/>
        </w:rPr>
        <w:t>2020年 11 月</w:t>
      </w:r>
    </w:p>
    <w:p>
      <w:pPr>
        <w:pStyle w:val="24"/>
        <w:adjustRightInd w:val="0"/>
        <w:snapToGrid w:val="0"/>
        <w:spacing w:line="360" w:lineRule="auto"/>
        <w:jc w:val="center"/>
        <w:rPr>
          <w:rFonts w:ascii="黑体" w:hAnsi="宋体" w:eastAsia="黑体"/>
          <w:b/>
          <w:spacing w:val="160"/>
          <w:sz w:val="32"/>
          <w:szCs w:val="32"/>
        </w:rPr>
      </w:pPr>
      <w:r>
        <w:rPr>
          <w:rFonts w:hint="eastAsia" w:ascii="黑体" w:hAnsi="宋体" w:eastAsia="黑体"/>
          <w:b/>
          <w:spacing w:val="160"/>
          <w:sz w:val="32"/>
          <w:szCs w:val="32"/>
        </w:rPr>
        <w:t>目录</w:t>
      </w:r>
    </w:p>
    <w:p>
      <w:pPr>
        <w:pStyle w:val="4"/>
        <w:tabs>
          <w:tab w:val="right" w:leader="dot" w:pos="8844"/>
        </w:tabs>
      </w:pPr>
      <w:r>
        <w:rPr>
          <w:rFonts w:hAnsi="宋体"/>
          <w:b w:val="0"/>
          <w:bCs/>
        </w:rPr>
        <w:fldChar w:fldCharType="begin"/>
      </w:r>
      <w:r>
        <w:rPr>
          <w:rFonts w:hAnsi="宋体"/>
          <w:b w:val="0"/>
          <w:bCs/>
        </w:rPr>
        <w:instrText xml:space="preserve"> TOC \o "1-3" \h \z \u </w:instrText>
      </w:r>
      <w:r>
        <w:rPr>
          <w:rFonts w:hAnsi="宋体"/>
          <w:b w:val="0"/>
          <w:bCs/>
        </w:rPr>
        <w:fldChar w:fldCharType="separate"/>
      </w:r>
      <w:r>
        <w:fldChar w:fldCharType="begin"/>
      </w:r>
      <w:r>
        <w:instrText xml:space="preserve"> HYPERLINK \l "_Toc9482" </w:instrText>
      </w:r>
      <w:r>
        <w:fldChar w:fldCharType="separate"/>
      </w:r>
      <w:r>
        <w:rPr>
          <w:rFonts w:hint="eastAsia" w:ascii="黑体" w:hAnsi="黑体" w:eastAsia="黑体"/>
          <w:szCs w:val="32"/>
        </w:rPr>
        <w:t>第一章 谈判邀请</w:t>
      </w:r>
      <w:r>
        <w:tab/>
      </w:r>
      <w:r>
        <w:fldChar w:fldCharType="begin"/>
      </w:r>
      <w:r>
        <w:instrText xml:space="preserve"> PAGEREF _Toc9482 </w:instrText>
      </w:r>
      <w:r>
        <w:fldChar w:fldCharType="separate"/>
      </w:r>
      <w:r>
        <w:t>4</w:t>
      </w:r>
      <w:r>
        <w:fldChar w:fldCharType="end"/>
      </w:r>
      <w:r>
        <w:fldChar w:fldCharType="end"/>
      </w:r>
    </w:p>
    <w:p>
      <w:pPr>
        <w:pStyle w:val="34"/>
        <w:tabs>
          <w:tab w:val="right" w:leader="dot" w:pos="8844"/>
        </w:tabs>
        <w:ind w:left="420"/>
      </w:pPr>
      <w:r>
        <w:fldChar w:fldCharType="begin"/>
      </w:r>
      <w:r>
        <w:instrText xml:space="preserve"> HYPERLINK \l "_Toc15232" </w:instrText>
      </w:r>
      <w:r>
        <w:fldChar w:fldCharType="separate"/>
      </w:r>
      <w:r>
        <w:rPr>
          <w:rFonts w:hint="eastAsia" w:ascii="黑体" w:hAnsi="黑体" w:eastAsia="黑体"/>
        </w:rPr>
        <w:t>一、采购项目名称、编号</w:t>
      </w:r>
      <w:r>
        <w:tab/>
      </w:r>
      <w:r>
        <w:fldChar w:fldCharType="begin"/>
      </w:r>
      <w:r>
        <w:instrText xml:space="preserve"> PAGEREF _Toc15232 </w:instrText>
      </w:r>
      <w:r>
        <w:fldChar w:fldCharType="separate"/>
      </w:r>
      <w:r>
        <w:t>4</w:t>
      </w:r>
      <w:r>
        <w:fldChar w:fldCharType="end"/>
      </w:r>
      <w:r>
        <w:fldChar w:fldCharType="end"/>
      </w:r>
    </w:p>
    <w:p>
      <w:pPr>
        <w:pStyle w:val="34"/>
        <w:tabs>
          <w:tab w:val="right" w:leader="dot" w:pos="8844"/>
        </w:tabs>
        <w:ind w:left="420"/>
      </w:pPr>
      <w:r>
        <w:fldChar w:fldCharType="begin"/>
      </w:r>
      <w:r>
        <w:instrText xml:space="preserve"> HYPERLINK \l "_Toc4955" </w:instrText>
      </w:r>
      <w:r>
        <w:fldChar w:fldCharType="separate"/>
      </w:r>
      <w:r>
        <w:rPr>
          <w:rFonts w:hint="eastAsia" w:ascii="黑体" w:hAnsi="黑体" w:eastAsia="黑体"/>
        </w:rPr>
        <w:t>二、采购人的采购需求</w:t>
      </w:r>
      <w:r>
        <w:tab/>
      </w:r>
      <w:r>
        <w:fldChar w:fldCharType="begin"/>
      </w:r>
      <w:r>
        <w:instrText xml:space="preserve"> PAGEREF _Toc4955 </w:instrText>
      </w:r>
      <w:r>
        <w:fldChar w:fldCharType="separate"/>
      </w:r>
      <w:r>
        <w:t>4</w:t>
      </w:r>
      <w:r>
        <w:fldChar w:fldCharType="end"/>
      </w:r>
      <w:r>
        <w:fldChar w:fldCharType="end"/>
      </w:r>
    </w:p>
    <w:p>
      <w:pPr>
        <w:pStyle w:val="34"/>
        <w:tabs>
          <w:tab w:val="right" w:leader="dot" w:pos="8844"/>
        </w:tabs>
        <w:ind w:left="420"/>
      </w:pPr>
      <w:r>
        <w:fldChar w:fldCharType="begin"/>
      </w:r>
      <w:r>
        <w:instrText xml:space="preserve"> HYPERLINK \l "_Toc18819" </w:instrText>
      </w:r>
      <w:r>
        <w:fldChar w:fldCharType="separate"/>
      </w:r>
      <w:r>
        <w:rPr>
          <w:rFonts w:hint="eastAsia" w:ascii="黑体" w:hAnsi="黑体" w:eastAsia="黑体"/>
        </w:rPr>
        <w:t>三、供应商的资格要求</w:t>
      </w:r>
      <w:r>
        <w:tab/>
      </w:r>
      <w:r>
        <w:fldChar w:fldCharType="begin"/>
      </w:r>
      <w:r>
        <w:instrText xml:space="preserve"> PAGEREF _Toc18819 </w:instrText>
      </w:r>
      <w:r>
        <w:fldChar w:fldCharType="separate"/>
      </w:r>
      <w:r>
        <w:t>4</w:t>
      </w:r>
      <w:r>
        <w:fldChar w:fldCharType="end"/>
      </w:r>
      <w:r>
        <w:fldChar w:fldCharType="end"/>
      </w:r>
    </w:p>
    <w:p>
      <w:pPr>
        <w:pStyle w:val="34"/>
        <w:tabs>
          <w:tab w:val="right" w:leader="dot" w:pos="8844"/>
        </w:tabs>
        <w:ind w:left="420"/>
      </w:pPr>
      <w:r>
        <w:fldChar w:fldCharType="begin"/>
      </w:r>
      <w:r>
        <w:instrText xml:space="preserve"> HYPERLINK \l "_Toc32657" </w:instrText>
      </w:r>
      <w:r>
        <w:fldChar w:fldCharType="separate"/>
      </w:r>
      <w:r>
        <w:rPr>
          <w:rFonts w:hint="eastAsia" w:ascii="黑体" w:hAnsi="黑体" w:eastAsia="黑体"/>
        </w:rPr>
        <w:t>四、获取谈判文件的时间、地点及方式</w:t>
      </w:r>
      <w:r>
        <w:tab/>
      </w:r>
      <w:r>
        <w:fldChar w:fldCharType="begin"/>
      </w:r>
      <w:r>
        <w:instrText xml:space="preserve"> PAGEREF _Toc32657 </w:instrText>
      </w:r>
      <w:r>
        <w:fldChar w:fldCharType="separate"/>
      </w:r>
      <w:r>
        <w:t>5</w:t>
      </w:r>
      <w:r>
        <w:fldChar w:fldCharType="end"/>
      </w:r>
      <w:r>
        <w:fldChar w:fldCharType="end"/>
      </w:r>
    </w:p>
    <w:p>
      <w:pPr>
        <w:pStyle w:val="34"/>
        <w:tabs>
          <w:tab w:val="right" w:leader="dot" w:pos="8844"/>
        </w:tabs>
        <w:ind w:left="420"/>
      </w:pPr>
      <w:r>
        <w:fldChar w:fldCharType="begin"/>
      </w:r>
      <w:r>
        <w:instrText xml:space="preserve"> HYPERLINK \l "_Toc24262" </w:instrText>
      </w:r>
      <w:r>
        <w:fldChar w:fldCharType="separate"/>
      </w:r>
      <w:r>
        <w:rPr>
          <w:rFonts w:hint="eastAsia" w:ascii="黑体" w:hAnsi="黑体" w:eastAsia="黑体"/>
        </w:rPr>
        <w:t>五、提交首次响应文件的截止时间、谈判时间及地点</w:t>
      </w:r>
      <w:r>
        <w:tab/>
      </w:r>
      <w:r>
        <w:fldChar w:fldCharType="begin"/>
      </w:r>
      <w:r>
        <w:instrText xml:space="preserve"> PAGEREF _Toc24262 </w:instrText>
      </w:r>
      <w:r>
        <w:fldChar w:fldCharType="separate"/>
      </w:r>
      <w:r>
        <w:t>5</w:t>
      </w:r>
      <w:r>
        <w:fldChar w:fldCharType="end"/>
      </w:r>
      <w:r>
        <w:fldChar w:fldCharType="end"/>
      </w:r>
    </w:p>
    <w:p>
      <w:pPr>
        <w:pStyle w:val="34"/>
        <w:tabs>
          <w:tab w:val="right" w:leader="dot" w:pos="8844"/>
        </w:tabs>
        <w:ind w:left="420"/>
      </w:pPr>
      <w:r>
        <w:fldChar w:fldCharType="begin"/>
      </w:r>
      <w:r>
        <w:instrText xml:space="preserve"> HYPERLINK \l "_Toc23613" </w:instrText>
      </w:r>
      <w:r>
        <w:fldChar w:fldCharType="separate"/>
      </w:r>
      <w:r>
        <w:rPr>
          <w:rFonts w:hint="eastAsia" w:ascii="黑体" w:hAnsi="黑体" w:eastAsia="黑体"/>
        </w:rPr>
        <w:t>六、确认</w:t>
      </w:r>
      <w:r>
        <w:tab/>
      </w:r>
      <w:r>
        <w:fldChar w:fldCharType="begin"/>
      </w:r>
      <w:r>
        <w:instrText xml:space="preserve"> PAGEREF _Toc23613 </w:instrText>
      </w:r>
      <w:r>
        <w:fldChar w:fldCharType="separate"/>
      </w:r>
      <w:r>
        <w:t>6</w:t>
      </w:r>
      <w:r>
        <w:fldChar w:fldCharType="end"/>
      </w:r>
      <w:r>
        <w:fldChar w:fldCharType="end"/>
      </w:r>
    </w:p>
    <w:p>
      <w:pPr>
        <w:pStyle w:val="34"/>
        <w:tabs>
          <w:tab w:val="right" w:leader="dot" w:pos="8844"/>
        </w:tabs>
        <w:ind w:left="420"/>
      </w:pPr>
      <w:r>
        <w:fldChar w:fldCharType="begin"/>
      </w:r>
      <w:r>
        <w:instrText xml:space="preserve"> HYPERLINK \l "_Toc29957" </w:instrText>
      </w:r>
      <w:r>
        <w:fldChar w:fldCharType="separate"/>
      </w:r>
      <w:r>
        <w:rPr>
          <w:rFonts w:hint="eastAsia" w:ascii="黑体" w:hAnsi="黑体" w:eastAsia="黑体"/>
        </w:rPr>
        <w:t>七、询问及质疑</w:t>
      </w:r>
      <w:r>
        <w:tab/>
      </w:r>
      <w:r>
        <w:fldChar w:fldCharType="begin"/>
      </w:r>
      <w:r>
        <w:instrText xml:space="preserve"> PAGEREF _Toc29957 </w:instrText>
      </w:r>
      <w:r>
        <w:fldChar w:fldCharType="separate"/>
      </w:r>
      <w:r>
        <w:t>6</w:t>
      </w:r>
      <w:r>
        <w:fldChar w:fldCharType="end"/>
      </w:r>
      <w:r>
        <w:fldChar w:fldCharType="end"/>
      </w:r>
    </w:p>
    <w:p>
      <w:pPr>
        <w:pStyle w:val="34"/>
        <w:tabs>
          <w:tab w:val="right" w:leader="dot" w:pos="8844"/>
        </w:tabs>
        <w:ind w:left="420"/>
      </w:pPr>
      <w:r>
        <w:fldChar w:fldCharType="begin"/>
      </w:r>
      <w:r>
        <w:instrText xml:space="preserve"> HYPERLINK \l "_Toc4052" </w:instrText>
      </w:r>
      <w:r>
        <w:fldChar w:fldCharType="separate"/>
      </w:r>
      <w:r>
        <w:rPr>
          <w:rFonts w:hint="eastAsia" w:ascii="黑体" w:hAnsi="黑体" w:eastAsia="黑体"/>
        </w:rPr>
        <w:t>八、采购人及其委托的采购代理机构的名称、地址和联系方法</w:t>
      </w:r>
      <w:r>
        <w:tab/>
      </w:r>
      <w:r>
        <w:fldChar w:fldCharType="begin"/>
      </w:r>
      <w:r>
        <w:instrText xml:space="preserve"> PAGEREF _Toc4052 </w:instrText>
      </w:r>
      <w:r>
        <w:fldChar w:fldCharType="separate"/>
      </w:r>
      <w:r>
        <w:t>6</w:t>
      </w:r>
      <w:r>
        <w:fldChar w:fldCharType="end"/>
      </w:r>
      <w:r>
        <w:fldChar w:fldCharType="end"/>
      </w:r>
    </w:p>
    <w:p>
      <w:pPr>
        <w:pStyle w:val="34"/>
        <w:tabs>
          <w:tab w:val="right" w:leader="dot" w:pos="8844"/>
        </w:tabs>
        <w:ind w:left="420"/>
      </w:pPr>
      <w:r>
        <w:fldChar w:fldCharType="begin"/>
      </w:r>
      <w:r>
        <w:instrText xml:space="preserve"> HYPERLINK \l "_Toc1512" </w:instrText>
      </w:r>
      <w:r>
        <w:fldChar w:fldCharType="separate"/>
      </w:r>
      <w:r>
        <w:rPr>
          <w:rFonts w:hint="eastAsia" w:ascii="黑体" w:hAnsi="黑体" w:eastAsia="黑体"/>
        </w:rPr>
        <w:t>九、其它补充事宜</w:t>
      </w:r>
      <w:r>
        <w:tab/>
      </w:r>
      <w:r>
        <w:fldChar w:fldCharType="begin"/>
      </w:r>
      <w:r>
        <w:instrText xml:space="preserve"> PAGEREF _Toc1512 </w:instrText>
      </w:r>
      <w:r>
        <w:fldChar w:fldCharType="separate"/>
      </w:r>
      <w:r>
        <w:t>6</w:t>
      </w:r>
      <w:r>
        <w:fldChar w:fldCharType="end"/>
      </w:r>
      <w:r>
        <w:fldChar w:fldCharType="end"/>
      </w:r>
    </w:p>
    <w:p>
      <w:pPr>
        <w:pStyle w:val="23"/>
        <w:tabs>
          <w:tab w:val="right" w:leader="dot" w:pos="8844"/>
        </w:tabs>
        <w:ind w:left="840"/>
      </w:pPr>
      <w:r>
        <w:fldChar w:fldCharType="begin"/>
      </w:r>
      <w:r>
        <w:instrText xml:space="preserve"> HYPERLINK \l "_Toc11862" </w:instrText>
      </w:r>
      <w:r>
        <w:fldChar w:fldCharType="separate"/>
      </w:r>
      <w:r>
        <w:rPr>
          <w:rFonts w:hint="eastAsia" w:ascii="宋体" w:hAnsi="宋体"/>
          <w:szCs w:val="21"/>
        </w:rPr>
        <w:t>附件：</w:t>
      </w:r>
      <w:r>
        <w:rPr>
          <w:rFonts w:hint="eastAsia" w:ascii="宋体" w:hAnsi="宋体"/>
          <w:spacing w:val="-3"/>
          <w:szCs w:val="21"/>
        </w:rPr>
        <w:t>确</w:t>
      </w:r>
      <w:r>
        <w:rPr>
          <w:rFonts w:hint="eastAsia" w:ascii="宋体" w:hAnsi="宋体"/>
          <w:szCs w:val="21"/>
        </w:rPr>
        <w:t>认通知</w:t>
      </w:r>
      <w:r>
        <w:tab/>
      </w:r>
      <w:r>
        <w:fldChar w:fldCharType="begin"/>
      </w:r>
      <w:r>
        <w:instrText xml:space="preserve"> PAGEREF _Toc11862 </w:instrText>
      </w:r>
      <w:r>
        <w:fldChar w:fldCharType="separate"/>
      </w:r>
      <w:r>
        <w:t>8</w:t>
      </w:r>
      <w:r>
        <w:fldChar w:fldCharType="end"/>
      </w:r>
      <w:r>
        <w:fldChar w:fldCharType="end"/>
      </w:r>
    </w:p>
    <w:p>
      <w:pPr>
        <w:pStyle w:val="4"/>
        <w:tabs>
          <w:tab w:val="right" w:leader="dot" w:pos="8844"/>
        </w:tabs>
      </w:pPr>
      <w:r>
        <w:fldChar w:fldCharType="begin"/>
      </w:r>
      <w:r>
        <w:instrText xml:space="preserve"> HYPERLINK \l "_Toc14971" </w:instrText>
      </w:r>
      <w:r>
        <w:fldChar w:fldCharType="separate"/>
      </w:r>
      <w:r>
        <w:rPr>
          <w:rFonts w:hint="eastAsia" w:ascii="黑体" w:hAnsi="黑体" w:eastAsia="黑体"/>
          <w:szCs w:val="32"/>
        </w:rPr>
        <w:t>第二章 谈判须知</w:t>
      </w:r>
      <w:r>
        <w:tab/>
      </w:r>
      <w:r>
        <w:fldChar w:fldCharType="begin"/>
      </w:r>
      <w:r>
        <w:instrText xml:space="preserve"> PAGEREF _Toc14971 </w:instrText>
      </w:r>
      <w:r>
        <w:fldChar w:fldCharType="separate"/>
      </w:r>
      <w:r>
        <w:t>9</w:t>
      </w:r>
      <w:r>
        <w:fldChar w:fldCharType="end"/>
      </w:r>
      <w:r>
        <w:fldChar w:fldCharType="end"/>
      </w:r>
    </w:p>
    <w:p>
      <w:pPr>
        <w:pStyle w:val="34"/>
        <w:tabs>
          <w:tab w:val="right" w:leader="dot" w:pos="8844"/>
        </w:tabs>
        <w:ind w:left="420"/>
      </w:pPr>
      <w:r>
        <w:fldChar w:fldCharType="begin"/>
      </w:r>
      <w:r>
        <w:instrText xml:space="preserve"> HYPERLINK \l "_Toc21868" </w:instrText>
      </w:r>
      <w:r>
        <w:fldChar w:fldCharType="separate"/>
      </w:r>
      <w:r>
        <w:rPr>
          <w:rFonts w:hint="eastAsia" w:ascii="黑体" w:hAnsi="黑体" w:eastAsia="黑体"/>
          <w:szCs w:val="28"/>
        </w:rPr>
        <w:t>第一节 谈判须知前附表</w:t>
      </w:r>
      <w:r>
        <w:tab/>
      </w:r>
      <w:r>
        <w:fldChar w:fldCharType="begin"/>
      </w:r>
      <w:r>
        <w:instrText xml:space="preserve"> PAGEREF _Toc21868 </w:instrText>
      </w:r>
      <w:r>
        <w:fldChar w:fldCharType="separate"/>
      </w:r>
      <w:r>
        <w:t>9</w:t>
      </w:r>
      <w:r>
        <w:fldChar w:fldCharType="end"/>
      </w:r>
      <w:r>
        <w:fldChar w:fldCharType="end"/>
      </w:r>
    </w:p>
    <w:p>
      <w:pPr>
        <w:pStyle w:val="34"/>
        <w:tabs>
          <w:tab w:val="right" w:leader="dot" w:pos="8844"/>
        </w:tabs>
        <w:ind w:left="420"/>
      </w:pPr>
      <w:r>
        <w:fldChar w:fldCharType="begin"/>
      </w:r>
      <w:r>
        <w:instrText xml:space="preserve"> HYPERLINK \l "_Toc5996" </w:instrText>
      </w:r>
      <w:r>
        <w:fldChar w:fldCharType="separate"/>
      </w:r>
      <w:r>
        <w:rPr>
          <w:rFonts w:hint="eastAsia" w:ascii="黑体" w:hAnsi="黑体" w:eastAsia="黑体"/>
        </w:rPr>
        <w:t>第二节 谈判须知正文</w:t>
      </w:r>
      <w:r>
        <w:tab/>
      </w:r>
      <w:r>
        <w:fldChar w:fldCharType="begin"/>
      </w:r>
      <w:r>
        <w:instrText xml:space="preserve"> PAGEREF _Toc5996 </w:instrText>
      </w:r>
      <w:r>
        <w:fldChar w:fldCharType="separate"/>
      </w:r>
      <w:r>
        <w:t>16</w:t>
      </w:r>
      <w:r>
        <w:fldChar w:fldCharType="end"/>
      </w:r>
      <w:r>
        <w:fldChar w:fldCharType="end"/>
      </w:r>
    </w:p>
    <w:p>
      <w:pPr>
        <w:pStyle w:val="23"/>
        <w:tabs>
          <w:tab w:val="right" w:leader="dot" w:pos="8844"/>
        </w:tabs>
        <w:ind w:left="840"/>
      </w:pPr>
      <w:r>
        <w:fldChar w:fldCharType="begin"/>
      </w:r>
      <w:r>
        <w:instrText xml:space="preserve"> HYPERLINK \l "_Toc26151" </w:instrText>
      </w:r>
      <w:r>
        <w:fldChar w:fldCharType="separate"/>
      </w:r>
      <w:r>
        <w:rPr>
          <w:rFonts w:hint="eastAsia" w:ascii="黑体" w:hAnsi="黑体" w:eastAsia="黑体"/>
          <w:szCs w:val="28"/>
        </w:rPr>
        <w:t>一、说明</w:t>
      </w:r>
      <w:r>
        <w:tab/>
      </w:r>
      <w:r>
        <w:fldChar w:fldCharType="begin"/>
      </w:r>
      <w:r>
        <w:instrText xml:space="preserve"> PAGEREF _Toc26151 </w:instrText>
      </w:r>
      <w:r>
        <w:fldChar w:fldCharType="separate"/>
      </w:r>
      <w:r>
        <w:t>16</w:t>
      </w:r>
      <w:r>
        <w:fldChar w:fldCharType="end"/>
      </w:r>
      <w:r>
        <w:fldChar w:fldCharType="end"/>
      </w:r>
    </w:p>
    <w:p>
      <w:pPr>
        <w:pStyle w:val="23"/>
        <w:tabs>
          <w:tab w:val="right" w:leader="dot" w:pos="8844"/>
        </w:tabs>
        <w:ind w:left="840"/>
      </w:pPr>
      <w:r>
        <w:fldChar w:fldCharType="begin"/>
      </w:r>
      <w:r>
        <w:instrText xml:space="preserve"> HYPERLINK \l "_Toc5170" </w:instrText>
      </w:r>
      <w:r>
        <w:fldChar w:fldCharType="separate"/>
      </w:r>
      <w:r>
        <w:rPr>
          <w:rFonts w:hint="eastAsia" w:ascii="黑体" w:hAnsi="黑体" w:eastAsia="黑体"/>
          <w:szCs w:val="28"/>
        </w:rPr>
        <w:t>二、谈判文件</w:t>
      </w:r>
      <w:r>
        <w:tab/>
      </w:r>
      <w:r>
        <w:fldChar w:fldCharType="begin"/>
      </w:r>
      <w:r>
        <w:instrText xml:space="preserve"> PAGEREF _Toc5170 </w:instrText>
      </w:r>
      <w:r>
        <w:fldChar w:fldCharType="separate"/>
      </w:r>
      <w:r>
        <w:t>17</w:t>
      </w:r>
      <w:r>
        <w:fldChar w:fldCharType="end"/>
      </w:r>
      <w:r>
        <w:fldChar w:fldCharType="end"/>
      </w:r>
    </w:p>
    <w:p>
      <w:pPr>
        <w:pStyle w:val="23"/>
        <w:tabs>
          <w:tab w:val="right" w:leader="dot" w:pos="8844"/>
        </w:tabs>
        <w:ind w:left="840"/>
      </w:pPr>
      <w:r>
        <w:fldChar w:fldCharType="begin"/>
      </w:r>
      <w:r>
        <w:instrText xml:space="preserve"> HYPERLINK \l "_Toc29192" </w:instrText>
      </w:r>
      <w:r>
        <w:fldChar w:fldCharType="separate"/>
      </w:r>
      <w:r>
        <w:rPr>
          <w:rFonts w:hint="eastAsia" w:ascii="黑体" w:hAnsi="黑体" w:eastAsia="黑体"/>
          <w:szCs w:val="28"/>
        </w:rPr>
        <w:t>三、响应文件</w:t>
      </w:r>
      <w:r>
        <w:tab/>
      </w:r>
      <w:r>
        <w:fldChar w:fldCharType="begin"/>
      </w:r>
      <w:r>
        <w:instrText xml:space="preserve"> PAGEREF _Toc29192 </w:instrText>
      </w:r>
      <w:r>
        <w:fldChar w:fldCharType="separate"/>
      </w:r>
      <w:r>
        <w:t>18</w:t>
      </w:r>
      <w:r>
        <w:fldChar w:fldCharType="end"/>
      </w:r>
      <w:r>
        <w:fldChar w:fldCharType="end"/>
      </w:r>
    </w:p>
    <w:p>
      <w:pPr>
        <w:pStyle w:val="23"/>
        <w:tabs>
          <w:tab w:val="right" w:leader="dot" w:pos="8844"/>
        </w:tabs>
        <w:ind w:left="840"/>
      </w:pPr>
      <w:r>
        <w:fldChar w:fldCharType="begin"/>
      </w:r>
      <w:r>
        <w:instrText xml:space="preserve"> HYPERLINK \l "_Toc15507" </w:instrText>
      </w:r>
      <w:r>
        <w:fldChar w:fldCharType="separate"/>
      </w:r>
      <w:r>
        <w:rPr>
          <w:rFonts w:hint="eastAsia" w:ascii="黑体" w:hAnsi="黑体" w:eastAsia="黑体"/>
          <w:szCs w:val="28"/>
        </w:rPr>
        <w:t>四、响应文件的递交</w:t>
      </w:r>
      <w:r>
        <w:tab/>
      </w:r>
      <w:r>
        <w:fldChar w:fldCharType="begin"/>
      </w:r>
      <w:r>
        <w:instrText xml:space="preserve"> PAGEREF _Toc15507 </w:instrText>
      </w:r>
      <w:r>
        <w:fldChar w:fldCharType="separate"/>
      </w:r>
      <w:r>
        <w:t>21</w:t>
      </w:r>
      <w:r>
        <w:fldChar w:fldCharType="end"/>
      </w:r>
      <w:r>
        <w:fldChar w:fldCharType="end"/>
      </w:r>
    </w:p>
    <w:p>
      <w:pPr>
        <w:pStyle w:val="23"/>
        <w:tabs>
          <w:tab w:val="right" w:leader="dot" w:pos="8844"/>
        </w:tabs>
        <w:ind w:left="840"/>
      </w:pPr>
      <w:r>
        <w:fldChar w:fldCharType="begin"/>
      </w:r>
      <w:r>
        <w:instrText xml:space="preserve"> HYPERLINK \l "_Toc7419" </w:instrText>
      </w:r>
      <w:r>
        <w:fldChar w:fldCharType="separate"/>
      </w:r>
      <w:r>
        <w:rPr>
          <w:rFonts w:hint="eastAsia" w:ascii="黑体" w:hAnsi="黑体" w:eastAsia="黑体"/>
          <w:szCs w:val="28"/>
        </w:rPr>
        <w:t>五、响应文件的评审与谈判</w:t>
      </w:r>
      <w:r>
        <w:tab/>
      </w:r>
      <w:r>
        <w:fldChar w:fldCharType="begin"/>
      </w:r>
      <w:r>
        <w:instrText xml:space="preserve"> PAGEREF _Toc7419 </w:instrText>
      </w:r>
      <w:r>
        <w:fldChar w:fldCharType="separate"/>
      </w:r>
      <w:r>
        <w:t>22</w:t>
      </w:r>
      <w:r>
        <w:fldChar w:fldCharType="end"/>
      </w:r>
      <w:r>
        <w:fldChar w:fldCharType="end"/>
      </w:r>
    </w:p>
    <w:p>
      <w:pPr>
        <w:pStyle w:val="23"/>
        <w:tabs>
          <w:tab w:val="right" w:leader="dot" w:pos="8844"/>
        </w:tabs>
        <w:ind w:left="840"/>
      </w:pPr>
      <w:r>
        <w:fldChar w:fldCharType="begin"/>
      </w:r>
      <w:r>
        <w:instrText xml:space="preserve"> HYPERLINK \l "_Toc14107" </w:instrText>
      </w:r>
      <w:r>
        <w:fldChar w:fldCharType="separate"/>
      </w:r>
      <w:r>
        <w:rPr>
          <w:rFonts w:hint="eastAsia" w:ascii="黑体" w:hAnsi="黑体" w:eastAsia="黑体"/>
          <w:szCs w:val="28"/>
        </w:rPr>
        <w:t>六、成交结果信息公布与授予合同</w:t>
      </w:r>
      <w:r>
        <w:tab/>
      </w:r>
      <w:r>
        <w:fldChar w:fldCharType="begin"/>
      </w:r>
      <w:r>
        <w:instrText xml:space="preserve"> PAGEREF _Toc14107 </w:instrText>
      </w:r>
      <w:r>
        <w:fldChar w:fldCharType="separate"/>
      </w:r>
      <w:r>
        <w:t>27</w:t>
      </w:r>
      <w:r>
        <w:fldChar w:fldCharType="end"/>
      </w:r>
      <w:r>
        <w:fldChar w:fldCharType="end"/>
      </w:r>
    </w:p>
    <w:p>
      <w:pPr>
        <w:pStyle w:val="23"/>
        <w:tabs>
          <w:tab w:val="right" w:leader="dot" w:pos="8844"/>
        </w:tabs>
        <w:ind w:left="840"/>
      </w:pPr>
      <w:r>
        <w:fldChar w:fldCharType="begin"/>
      </w:r>
      <w:r>
        <w:instrText xml:space="preserve"> HYPERLINK \l "_Toc1123" </w:instrText>
      </w:r>
      <w:r>
        <w:fldChar w:fldCharType="separate"/>
      </w:r>
      <w:r>
        <w:rPr>
          <w:rFonts w:hint="eastAsia" w:ascii="黑体" w:hAnsi="黑体" w:eastAsia="黑体"/>
          <w:szCs w:val="28"/>
        </w:rPr>
        <w:t>七、政府采购政策</w:t>
      </w:r>
      <w:r>
        <w:tab/>
      </w:r>
      <w:r>
        <w:fldChar w:fldCharType="begin"/>
      </w:r>
      <w:r>
        <w:instrText xml:space="preserve"> PAGEREF _Toc1123 </w:instrText>
      </w:r>
      <w:r>
        <w:fldChar w:fldCharType="separate"/>
      </w:r>
      <w:r>
        <w:t>28</w:t>
      </w:r>
      <w:r>
        <w:fldChar w:fldCharType="end"/>
      </w:r>
      <w:r>
        <w:fldChar w:fldCharType="end"/>
      </w:r>
    </w:p>
    <w:p>
      <w:pPr>
        <w:pStyle w:val="23"/>
        <w:tabs>
          <w:tab w:val="right" w:leader="dot" w:pos="8844"/>
        </w:tabs>
        <w:ind w:left="840"/>
      </w:pPr>
      <w:r>
        <w:fldChar w:fldCharType="begin"/>
      </w:r>
      <w:r>
        <w:instrText xml:space="preserve"> HYPERLINK \l "_Toc8321" </w:instrText>
      </w:r>
      <w:r>
        <w:fldChar w:fldCharType="separate"/>
      </w:r>
      <w:r>
        <w:rPr>
          <w:rFonts w:hint="eastAsia" w:ascii="黑体" w:hAnsi="黑体" w:eastAsia="黑体"/>
          <w:szCs w:val="28"/>
        </w:rPr>
        <w:t>八、其他规定</w:t>
      </w:r>
      <w:r>
        <w:tab/>
      </w:r>
      <w:r>
        <w:fldChar w:fldCharType="begin"/>
      </w:r>
      <w:r>
        <w:instrText xml:space="preserve"> PAGEREF _Toc8321 </w:instrText>
      </w:r>
      <w:r>
        <w:fldChar w:fldCharType="separate"/>
      </w:r>
      <w:r>
        <w:t>29</w:t>
      </w:r>
      <w:r>
        <w:fldChar w:fldCharType="end"/>
      </w:r>
      <w:r>
        <w:fldChar w:fldCharType="end"/>
      </w:r>
    </w:p>
    <w:p>
      <w:pPr>
        <w:pStyle w:val="4"/>
        <w:tabs>
          <w:tab w:val="right" w:leader="dot" w:pos="8844"/>
        </w:tabs>
      </w:pPr>
      <w:r>
        <w:fldChar w:fldCharType="begin"/>
      </w:r>
      <w:r>
        <w:instrText xml:space="preserve"> HYPERLINK \l "_Toc31607" </w:instrText>
      </w:r>
      <w:r>
        <w:fldChar w:fldCharType="separate"/>
      </w:r>
      <w:r>
        <w:rPr>
          <w:rFonts w:hint="eastAsia" w:ascii="黑体" w:hAnsi="黑体" w:eastAsia="黑体"/>
          <w:szCs w:val="32"/>
        </w:rPr>
        <w:t>第三章 采购需求</w:t>
      </w:r>
      <w:r>
        <w:tab/>
      </w:r>
      <w:r>
        <w:fldChar w:fldCharType="begin"/>
      </w:r>
      <w:r>
        <w:instrText xml:space="preserve"> PAGEREF _Toc31607 </w:instrText>
      </w:r>
      <w:r>
        <w:fldChar w:fldCharType="separate"/>
      </w:r>
      <w:r>
        <w:t>30</w:t>
      </w:r>
      <w:r>
        <w:fldChar w:fldCharType="end"/>
      </w:r>
      <w:r>
        <w:fldChar w:fldCharType="end"/>
      </w:r>
    </w:p>
    <w:p>
      <w:pPr>
        <w:pStyle w:val="34"/>
        <w:tabs>
          <w:tab w:val="right" w:leader="dot" w:pos="8844"/>
        </w:tabs>
        <w:ind w:left="420"/>
      </w:pPr>
      <w:r>
        <w:fldChar w:fldCharType="begin"/>
      </w:r>
      <w:r>
        <w:instrText xml:space="preserve"> HYPERLINK \l "_Toc27412" </w:instrText>
      </w:r>
      <w:r>
        <w:fldChar w:fldCharType="separate"/>
      </w:r>
      <w:r>
        <w:rPr>
          <w:rFonts w:hint="eastAsia" w:ascii="黑体" w:hAnsi="黑体" w:eastAsia="黑体"/>
          <w:szCs w:val="28"/>
        </w:rPr>
        <w:t>第一节 采购清单一览表</w:t>
      </w:r>
      <w:r>
        <w:tab/>
      </w:r>
      <w:r>
        <w:fldChar w:fldCharType="begin"/>
      </w:r>
      <w:r>
        <w:instrText xml:space="preserve"> PAGEREF _Toc27412 </w:instrText>
      </w:r>
      <w:r>
        <w:fldChar w:fldCharType="separate"/>
      </w:r>
      <w:r>
        <w:t>30</w:t>
      </w:r>
      <w:r>
        <w:fldChar w:fldCharType="end"/>
      </w:r>
      <w:r>
        <w:fldChar w:fldCharType="end"/>
      </w:r>
    </w:p>
    <w:p>
      <w:pPr>
        <w:pStyle w:val="34"/>
        <w:tabs>
          <w:tab w:val="right" w:leader="dot" w:pos="8844"/>
        </w:tabs>
        <w:ind w:left="420"/>
      </w:pPr>
      <w:r>
        <w:fldChar w:fldCharType="begin"/>
      </w:r>
      <w:r>
        <w:instrText xml:space="preserve"> HYPERLINK \l "_Toc12147" </w:instrText>
      </w:r>
      <w:r>
        <w:fldChar w:fldCharType="separate"/>
      </w:r>
      <w:r>
        <w:rPr>
          <w:rFonts w:hint="eastAsia" w:ascii="黑体" w:hAnsi="黑体" w:eastAsia="黑体"/>
          <w:szCs w:val="28"/>
        </w:rPr>
        <w:t xml:space="preserve">第二节 </w:t>
      </w:r>
      <w:r>
        <w:rPr>
          <w:rFonts w:ascii="黑体" w:hAnsi="黑体" w:eastAsia="黑体"/>
          <w:szCs w:val="28"/>
        </w:rPr>
        <w:t>技术要求</w:t>
      </w:r>
      <w:r>
        <w:tab/>
      </w:r>
      <w:r>
        <w:fldChar w:fldCharType="begin"/>
      </w:r>
      <w:r>
        <w:instrText xml:space="preserve"> PAGEREF _Toc12147 </w:instrText>
      </w:r>
      <w:r>
        <w:fldChar w:fldCharType="separate"/>
      </w:r>
      <w:r>
        <w:t>30</w:t>
      </w:r>
      <w:r>
        <w:fldChar w:fldCharType="end"/>
      </w:r>
      <w:r>
        <w:fldChar w:fldCharType="end"/>
      </w:r>
    </w:p>
    <w:p>
      <w:pPr>
        <w:pStyle w:val="23"/>
        <w:tabs>
          <w:tab w:val="right" w:leader="dot" w:pos="8844"/>
        </w:tabs>
        <w:ind w:left="840"/>
      </w:pPr>
      <w:r>
        <w:fldChar w:fldCharType="begin"/>
      </w:r>
      <w:r>
        <w:instrText xml:space="preserve"> HYPERLINK \l "_Toc10911" </w:instrText>
      </w:r>
      <w:r>
        <w:fldChar w:fldCharType="separate"/>
      </w:r>
      <w:r>
        <w:rPr>
          <w:rFonts w:hint="eastAsia" w:ascii="黑体" w:hAnsi="黑体" w:eastAsia="黑体"/>
          <w:szCs w:val="28"/>
        </w:rPr>
        <w:t>一、非接触眼压计技术参数</w:t>
      </w:r>
      <w:r>
        <w:tab/>
      </w:r>
      <w:r>
        <w:fldChar w:fldCharType="begin"/>
      </w:r>
      <w:r>
        <w:instrText xml:space="preserve"> PAGEREF _Toc10911 </w:instrText>
      </w:r>
      <w:r>
        <w:fldChar w:fldCharType="separate"/>
      </w:r>
      <w:r>
        <w:t>30</w:t>
      </w:r>
      <w:r>
        <w:fldChar w:fldCharType="end"/>
      </w:r>
      <w:r>
        <w:fldChar w:fldCharType="end"/>
      </w:r>
    </w:p>
    <w:p>
      <w:pPr>
        <w:pStyle w:val="34"/>
        <w:tabs>
          <w:tab w:val="right" w:leader="dot" w:pos="8844"/>
        </w:tabs>
        <w:ind w:left="420"/>
      </w:pPr>
      <w:r>
        <w:fldChar w:fldCharType="begin"/>
      </w:r>
      <w:r>
        <w:instrText xml:space="preserve"> HYPERLINK \l "_Toc6769" </w:instrText>
      </w:r>
      <w:r>
        <w:fldChar w:fldCharType="separate"/>
      </w:r>
      <w:r>
        <w:rPr>
          <w:rFonts w:hint="eastAsia" w:ascii="黑体" w:hAnsi="黑体" w:eastAsia="黑体"/>
          <w:szCs w:val="28"/>
        </w:rPr>
        <w:t>第三节  商务要求</w:t>
      </w:r>
      <w:r>
        <w:tab/>
      </w:r>
      <w:r>
        <w:fldChar w:fldCharType="begin"/>
      </w:r>
      <w:r>
        <w:instrText xml:space="preserve"> PAGEREF _Toc6769 </w:instrText>
      </w:r>
      <w:r>
        <w:fldChar w:fldCharType="separate"/>
      </w:r>
      <w:r>
        <w:t>37</w:t>
      </w:r>
      <w:r>
        <w:fldChar w:fldCharType="end"/>
      </w:r>
      <w:r>
        <w:fldChar w:fldCharType="end"/>
      </w:r>
    </w:p>
    <w:p>
      <w:pPr>
        <w:pStyle w:val="4"/>
        <w:tabs>
          <w:tab w:val="right" w:leader="dot" w:pos="8844"/>
        </w:tabs>
      </w:pPr>
      <w:r>
        <w:fldChar w:fldCharType="begin"/>
      </w:r>
      <w:r>
        <w:instrText xml:space="preserve"> HYPERLINK \l "_Toc14441" </w:instrText>
      </w:r>
      <w:r>
        <w:fldChar w:fldCharType="separate"/>
      </w:r>
      <w:r>
        <w:rPr>
          <w:rFonts w:hint="eastAsia" w:ascii="黑体" w:hAnsi="黑体" w:eastAsia="黑体"/>
          <w:szCs w:val="32"/>
        </w:rPr>
        <w:t>第四章 合同草案条款</w:t>
      </w:r>
      <w:r>
        <w:tab/>
      </w:r>
      <w:r>
        <w:fldChar w:fldCharType="begin"/>
      </w:r>
      <w:r>
        <w:instrText xml:space="preserve"> PAGEREF _Toc14441 </w:instrText>
      </w:r>
      <w:r>
        <w:fldChar w:fldCharType="separate"/>
      </w:r>
      <w:r>
        <w:t>38</w:t>
      </w:r>
      <w:r>
        <w:fldChar w:fldCharType="end"/>
      </w:r>
      <w:r>
        <w:fldChar w:fldCharType="end"/>
      </w:r>
    </w:p>
    <w:p>
      <w:pPr>
        <w:pStyle w:val="34"/>
        <w:tabs>
          <w:tab w:val="right" w:leader="dot" w:pos="8844"/>
        </w:tabs>
        <w:ind w:left="420"/>
      </w:pPr>
      <w:r>
        <w:fldChar w:fldCharType="begin"/>
      </w:r>
      <w:r>
        <w:instrText xml:space="preserve"> HYPERLINK \l "_Toc8676" </w:instrText>
      </w:r>
      <w:r>
        <w:fldChar w:fldCharType="separate"/>
      </w:r>
      <w:r>
        <w:rPr>
          <w:rFonts w:hint="eastAsia" w:ascii="黑体" w:hAnsi="华文中宋" w:eastAsia="黑体"/>
          <w:szCs w:val="28"/>
        </w:rPr>
        <w:t>第一节 合同协议书</w:t>
      </w:r>
      <w:r>
        <w:tab/>
      </w:r>
      <w:r>
        <w:fldChar w:fldCharType="begin"/>
      </w:r>
      <w:r>
        <w:instrText xml:space="preserve"> PAGEREF _Toc8676 </w:instrText>
      </w:r>
      <w:r>
        <w:fldChar w:fldCharType="separate"/>
      </w:r>
      <w:r>
        <w:t>38</w:t>
      </w:r>
      <w:r>
        <w:fldChar w:fldCharType="end"/>
      </w:r>
      <w:r>
        <w:fldChar w:fldCharType="end"/>
      </w:r>
    </w:p>
    <w:p>
      <w:pPr>
        <w:pStyle w:val="23"/>
        <w:tabs>
          <w:tab w:val="right" w:leader="dot" w:pos="8844"/>
        </w:tabs>
        <w:ind w:left="840"/>
      </w:pPr>
      <w:r>
        <w:fldChar w:fldCharType="begin"/>
      </w:r>
      <w:r>
        <w:instrText xml:space="preserve"> HYPERLINK \l "_Toc14398" </w:instrText>
      </w:r>
      <w:r>
        <w:fldChar w:fldCharType="separate"/>
      </w:r>
      <w:r>
        <w:rPr>
          <w:rFonts w:hint="eastAsia" w:ascii="黑体" w:hAnsi="黑体" w:eastAsia="黑体"/>
        </w:rPr>
        <w:t>1.项目信息</w:t>
      </w:r>
      <w:r>
        <w:tab/>
      </w:r>
      <w:r>
        <w:fldChar w:fldCharType="begin"/>
      </w:r>
      <w:r>
        <w:instrText xml:space="preserve"> PAGEREF _Toc14398 </w:instrText>
      </w:r>
      <w:r>
        <w:fldChar w:fldCharType="separate"/>
      </w:r>
      <w:r>
        <w:t>38</w:t>
      </w:r>
      <w:r>
        <w:fldChar w:fldCharType="end"/>
      </w:r>
      <w:r>
        <w:fldChar w:fldCharType="end"/>
      </w:r>
    </w:p>
    <w:p>
      <w:pPr>
        <w:pStyle w:val="23"/>
        <w:tabs>
          <w:tab w:val="right" w:leader="dot" w:pos="8844"/>
        </w:tabs>
        <w:ind w:left="840"/>
      </w:pPr>
      <w:r>
        <w:fldChar w:fldCharType="begin"/>
      </w:r>
      <w:r>
        <w:instrText xml:space="preserve"> HYPERLINK \l "_Toc26118" </w:instrText>
      </w:r>
      <w:r>
        <w:fldChar w:fldCharType="separate"/>
      </w:r>
      <w:r>
        <w:rPr>
          <w:rFonts w:hint="eastAsia" w:ascii="黑体" w:hAnsi="黑体" w:eastAsia="黑体"/>
        </w:rPr>
        <w:t>2.合同金额</w:t>
      </w:r>
      <w:r>
        <w:tab/>
      </w:r>
      <w:r>
        <w:fldChar w:fldCharType="begin"/>
      </w:r>
      <w:r>
        <w:instrText xml:space="preserve"> PAGEREF _Toc26118 </w:instrText>
      </w:r>
      <w:r>
        <w:fldChar w:fldCharType="separate"/>
      </w:r>
      <w:r>
        <w:t>38</w:t>
      </w:r>
      <w:r>
        <w:fldChar w:fldCharType="end"/>
      </w:r>
      <w:r>
        <w:fldChar w:fldCharType="end"/>
      </w:r>
    </w:p>
    <w:p>
      <w:pPr>
        <w:pStyle w:val="23"/>
        <w:tabs>
          <w:tab w:val="right" w:leader="dot" w:pos="8844"/>
        </w:tabs>
        <w:ind w:left="840"/>
      </w:pPr>
      <w:r>
        <w:fldChar w:fldCharType="begin"/>
      </w:r>
      <w:r>
        <w:instrText xml:space="preserve"> HYPERLINK \l "_Toc3739" </w:instrText>
      </w:r>
      <w:r>
        <w:fldChar w:fldCharType="separate"/>
      </w:r>
      <w:r>
        <w:rPr>
          <w:rFonts w:hint="eastAsia" w:ascii="黑体" w:hAnsi="黑体" w:eastAsia="黑体"/>
        </w:rPr>
        <w:t>3.履行合同的时间、地点及方式</w:t>
      </w:r>
      <w:r>
        <w:tab/>
      </w:r>
      <w:r>
        <w:fldChar w:fldCharType="begin"/>
      </w:r>
      <w:r>
        <w:instrText xml:space="preserve"> PAGEREF _Toc3739 </w:instrText>
      </w:r>
      <w:r>
        <w:fldChar w:fldCharType="separate"/>
      </w:r>
      <w:r>
        <w:t>38</w:t>
      </w:r>
      <w:r>
        <w:fldChar w:fldCharType="end"/>
      </w:r>
      <w:r>
        <w:fldChar w:fldCharType="end"/>
      </w:r>
    </w:p>
    <w:p>
      <w:pPr>
        <w:pStyle w:val="23"/>
        <w:tabs>
          <w:tab w:val="right" w:leader="dot" w:pos="8844"/>
        </w:tabs>
        <w:ind w:left="840"/>
      </w:pPr>
      <w:r>
        <w:fldChar w:fldCharType="begin"/>
      </w:r>
      <w:r>
        <w:instrText xml:space="preserve"> HYPERLINK \l "_Toc12740" </w:instrText>
      </w:r>
      <w:r>
        <w:fldChar w:fldCharType="separate"/>
      </w:r>
      <w:r>
        <w:rPr>
          <w:rFonts w:hint="eastAsia" w:ascii="黑体" w:hAnsi="黑体" w:eastAsia="黑体"/>
        </w:rPr>
        <w:t>4.付款</w:t>
      </w:r>
      <w:r>
        <w:tab/>
      </w:r>
      <w:r>
        <w:fldChar w:fldCharType="begin"/>
      </w:r>
      <w:r>
        <w:instrText xml:space="preserve"> PAGEREF _Toc12740 </w:instrText>
      </w:r>
      <w:r>
        <w:fldChar w:fldCharType="separate"/>
      </w:r>
      <w:r>
        <w:t>38</w:t>
      </w:r>
      <w:r>
        <w:fldChar w:fldCharType="end"/>
      </w:r>
      <w:r>
        <w:fldChar w:fldCharType="end"/>
      </w:r>
    </w:p>
    <w:p>
      <w:pPr>
        <w:pStyle w:val="23"/>
        <w:tabs>
          <w:tab w:val="right" w:leader="dot" w:pos="8844"/>
        </w:tabs>
        <w:ind w:left="840"/>
      </w:pPr>
      <w:r>
        <w:fldChar w:fldCharType="begin"/>
      </w:r>
      <w:r>
        <w:instrText xml:space="preserve"> HYPERLINK \l "_Toc6525" </w:instrText>
      </w:r>
      <w:r>
        <w:fldChar w:fldCharType="separate"/>
      </w:r>
      <w:r>
        <w:rPr>
          <w:rFonts w:hint="eastAsia" w:ascii="黑体" w:hAnsi="黑体" w:eastAsia="黑体"/>
        </w:rPr>
        <w:t>5.解决合同纠纷方式</w:t>
      </w:r>
      <w:r>
        <w:tab/>
      </w:r>
      <w:r>
        <w:fldChar w:fldCharType="begin"/>
      </w:r>
      <w:r>
        <w:instrText xml:space="preserve"> PAGEREF _Toc6525 </w:instrText>
      </w:r>
      <w:r>
        <w:fldChar w:fldCharType="separate"/>
      </w:r>
      <w:r>
        <w:t>39</w:t>
      </w:r>
      <w:r>
        <w:fldChar w:fldCharType="end"/>
      </w:r>
      <w:r>
        <w:fldChar w:fldCharType="end"/>
      </w:r>
    </w:p>
    <w:p>
      <w:pPr>
        <w:pStyle w:val="23"/>
        <w:tabs>
          <w:tab w:val="right" w:leader="dot" w:pos="8844"/>
        </w:tabs>
        <w:ind w:left="840"/>
      </w:pPr>
      <w:r>
        <w:fldChar w:fldCharType="begin"/>
      </w:r>
      <w:r>
        <w:instrText xml:space="preserve"> HYPERLINK \l "_Toc14054" </w:instrText>
      </w:r>
      <w:r>
        <w:fldChar w:fldCharType="separate"/>
      </w:r>
      <w:r>
        <w:rPr>
          <w:rFonts w:hint="eastAsia" w:ascii="黑体" w:hAnsi="黑体" w:eastAsia="黑体"/>
        </w:rPr>
        <w:t>6.组成合同的文件</w:t>
      </w:r>
      <w:r>
        <w:tab/>
      </w:r>
      <w:r>
        <w:fldChar w:fldCharType="begin"/>
      </w:r>
      <w:r>
        <w:instrText xml:space="preserve"> PAGEREF _Toc14054 </w:instrText>
      </w:r>
      <w:r>
        <w:fldChar w:fldCharType="separate"/>
      </w:r>
      <w:r>
        <w:t>39</w:t>
      </w:r>
      <w:r>
        <w:fldChar w:fldCharType="end"/>
      </w:r>
      <w:r>
        <w:fldChar w:fldCharType="end"/>
      </w:r>
    </w:p>
    <w:p>
      <w:pPr>
        <w:pStyle w:val="23"/>
        <w:tabs>
          <w:tab w:val="right" w:leader="dot" w:pos="8844"/>
        </w:tabs>
        <w:ind w:left="840"/>
      </w:pPr>
      <w:r>
        <w:fldChar w:fldCharType="begin"/>
      </w:r>
      <w:r>
        <w:instrText xml:space="preserve"> HYPERLINK \l "_Toc18528" </w:instrText>
      </w:r>
      <w:r>
        <w:fldChar w:fldCharType="separate"/>
      </w:r>
      <w:r>
        <w:rPr>
          <w:rFonts w:hint="eastAsia" w:ascii="黑体" w:hAnsi="黑体" w:eastAsia="黑体"/>
        </w:rPr>
        <w:t>7.合同生效</w:t>
      </w:r>
      <w:r>
        <w:tab/>
      </w:r>
      <w:r>
        <w:fldChar w:fldCharType="begin"/>
      </w:r>
      <w:r>
        <w:instrText xml:space="preserve"> PAGEREF _Toc18528 </w:instrText>
      </w:r>
      <w:r>
        <w:fldChar w:fldCharType="separate"/>
      </w:r>
      <w:r>
        <w:t>39</w:t>
      </w:r>
      <w:r>
        <w:fldChar w:fldCharType="end"/>
      </w:r>
      <w:r>
        <w:fldChar w:fldCharType="end"/>
      </w:r>
    </w:p>
    <w:p>
      <w:pPr>
        <w:pStyle w:val="23"/>
        <w:tabs>
          <w:tab w:val="right" w:leader="dot" w:pos="8844"/>
        </w:tabs>
        <w:ind w:left="840"/>
      </w:pPr>
      <w:r>
        <w:fldChar w:fldCharType="begin"/>
      </w:r>
      <w:r>
        <w:instrText xml:space="preserve"> HYPERLINK \l "_Toc24704" </w:instrText>
      </w:r>
      <w:r>
        <w:fldChar w:fldCharType="separate"/>
      </w:r>
      <w:r>
        <w:rPr>
          <w:rFonts w:hint="eastAsia" w:ascii="黑体" w:hAnsi="黑体" w:eastAsia="黑体"/>
        </w:rPr>
        <w:t>8.合同份数</w:t>
      </w:r>
      <w:r>
        <w:tab/>
      </w:r>
      <w:r>
        <w:fldChar w:fldCharType="begin"/>
      </w:r>
      <w:r>
        <w:instrText xml:space="preserve"> PAGEREF _Toc24704 </w:instrText>
      </w:r>
      <w:r>
        <w:fldChar w:fldCharType="separate"/>
      </w:r>
      <w:r>
        <w:t>39</w:t>
      </w:r>
      <w:r>
        <w:fldChar w:fldCharType="end"/>
      </w:r>
      <w:r>
        <w:fldChar w:fldCharType="end"/>
      </w:r>
    </w:p>
    <w:p>
      <w:pPr>
        <w:pStyle w:val="34"/>
        <w:tabs>
          <w:tab w:val="right" w:leader="dot" w:pos="8844"/>
        </w:tabs>
        <w:ind w:left="420"/>
      </w:pPr>
      <w:r>
        <w:fldChar w:fldCharType="begin"/>
      </w:r>
      <w:r>
        <w:instrText xml:space="preserve"> HYPERLINK \l "_Toc5619" </w:instrText>
      </w:r>
      <w:r>
        <w:fldChar w:fldCharType="separate"/>
      </w:r>
      <w:r>
        <w:rPr>
          <w:rFonts w:hint="eastAsia" w:ascii="黑体" w:hAnsi="黑体" w:eastAsia="黑体"/>
          <w:szCs w:val="28"/>
        </w:rPr>
        <w:t>第二节 政府采购合同</w:t>
      </w:r>
      <w:r>
        <w:tab/>
      </w:r>
      <w:r>
        <w:fldChar w:fldCharType="begin"/>
      </w:r>
      <w:r>
        <w:instrText xml:space="preserve"> PAGEREF _Toc5619 </w:instrText>
      </w:r>
      <w:r>
        <w:fldChar w:fldCharType="separate"/>
      </w:r>
      <w:r>
        <w:t>41</w:t>
      </w:r>
      <w:r>
        <w:fldChar w:fldCharType="end"/>
      </w:r>
      <w:r>
        <w:fldChar w:fldCharType="end"/>
      </w:r>
    </w:p>
    <w:p>
      <w:pPr>
        <w:pStyle w:val="23"/>
        <w:tabs>
          <w:tab w:val="right" w:leader="dot" w:pos="8844"/>
        </w:tabs>
        <w:ind w:left="840"/>
      </w:pPr>
      <w:r>
        <w:fldChar w:fldCharType="begin"/>
      </w:r>
      <w:r>
        <w:instrText xml:space="preserve"> HYPERLINK \l "_Toc12522" </w:instrText>
      </w:r>
      <w:r>
        <w:fldChar w:fldCharType="separate"/>
      </w:r>
      <w:r>
        <w:rPr>
          <w:rFonts w:ascii="宋体" w:hAnsi="宋体" w:cs="宋体"/>
          <w:szCs w:val="21"/>
        </w:rPr>
        <w:t>8.运输和保险</w:t>
      </w:r>
      <w:r>
        <w:tab/>
      </w:r>
      <w:r>
        <w:fldChar w:fldCharType="begin"/>
      </w:r>
      <w:r>
        <w:instrText xml:space="preserve"> PAGEREF _Toc12522 </w:instrText>
      </w:r>
      <w:r>
        <w:fldChar w:fldCharType="separate"/>
      </w:r>
      <w:r>
        <w:t>42</w:t>
      </w:r>
      <w:r>
        <w:fldChar w:fldCharType="end"/>
      </w:r>
      <w:r>
        <w:fldChar w:fldCharType="end"/>
      </w:r>
    </w:p>
    <w:p>
      <w:pPr>
        <w:pStyle w:val="34"/>
        <w:tabs>
          <w:tab w:val="right" w:leader="dot" w:pos="8844"/>
        </w:tabs>
        <w:ind w:left="420"/>
      </w:pPr>
      <w:r>
        <w:fldChar w:fldCharType="begin"/>
      </w:r>
      <w:r>
        <w:instrText xml:space="preserve"> HYPERLINK \l "_Toc23311" </w:instrText>
      </w:r>
      <w:r>
        <w:fldChar w:fldCharType="separate"/>
      </w:r>
      <w:r>
        <w:rPr>
          <w:rFonts w:hint="eastAsia" w:ascii="黑体" w:hAnsi="黑体" w:eastAsia="黑体"/>
        </w:rPr>
        <w:t>第五章 响应文件组成</w:t>
      </w:r>
      <w:r>
        <w:tab/>
      </w:r>
      <w:r>
        <w:fldChar w:fldCharType="begin"/>
      </w:r>
      <w:r>
        <w:instrText xml:space="preserve"> PAGEREF _Toc23311 </w:instrText>
      </w:r>
      <w:r>
        <w:fldChar w:fldCharType="separate"/>
      </w:r>
      <w:r>
        <w:t>49</w:t>
      </w:r>
      <w:r>
        <w:fldChar w:fldCharType="end"/>
      </w:r>
      <w:r>
        <w:fldChar w:fldCharType="end"/>
      </w:r>
    </w:p>
    <w:p>
      <w:pPr>
        <w:pStyle w:val="34"/>
        <w:tabs>
          <w:tab w:val="right" w:leader="dot" w:pos="8844"/>
        </w:tabs>
        <w:ind w:left="420"/>
      </w:pPr>
      <w:r>
        <w:fldChar w:fldCharType="begin"/>
      </w:r>
      <w:r>
        <w:instrText xml:space="preserve"> HYPERLINK \l "_Toc31089" </w:instrText>
      </w:r>
      <w:r>
        <w:fldChar w:fldCharType="separate"/>
      </w:r>
      <w:r>
        <w:rPr>
          <w:rFonts w:hint="eastAsia" w:ascii="黑体" w:hAnsi="黑体" w:eastAsia="黑体"/>
          <w:szCs w:val="28"/>
        </w:rPr>
        <w:t>一、谈判响应声明(格式)</w:t>
      </w:r>
      <w:r>
        <w:tab/>
      </w:r>
      <w:r>
        <w:fldChar w:fldCharType="begin"/>
      </w:r>
      <w:r>
        <w:instrText xml:space="preserve"> PAGEREF _Toc31089 </w:instrText>
      </w:r>
      <w:r>
        <w:fldChar w:fldCharType="separate"/>
      </w:r>
      <w:r>
        <w:t>51</w:t>
      </w:r>
      <w:r>
        <w:fldChar w:fldCharType="end"/>
      </w:r>
      <w:r>
        <w:fldChar w:fldCharType="end"/>
      </w:r>
    </w:p>
    <w:p>
      <w:pPr>
        <w:pStyle w:val="34"/>
        <w:tabs>
          <w:tab w:val="right" w:leader="dot" w:pos="8844"/>
        </w:tabs>
        <w:ind w:left="420"/>
      </w:pPr>
      <w:r>
        <w:fldChar w:fldCharType="begin"/>
      </w:r>
      <w:r>
        <w:instrText xml:space="preserve"> HYPERLINK \l "_Toc24075" </w:instrText>
      </w:r>
      <w:r>
        <w:fldChar w:fldCharType="separate"/>
      </w:r>
      <w:r>
        <w:rPr>
          <w:rFonts w:hint="eastAsia" w:ascii="黑体" w:hAnsi="黑体" w:eastAsia="黑体"/>
          <w:szCs w:val="28"/>
        </w:rPr>
        <w:t>二、法定代表人（单位负责人）身份证明(格式)</w:t>
      </w:r>
      <w:r>
        <w:tab/>
      </w:r>
      <w:r>
        <w:fldChar w:fldCharType="begin"/>
      </w:r>
      <w:r>
        <w:instrText xml:space="preserve"> PAGEREF _Toc24075 </w:instrText>
      </w:r>
      <w:r>
        <w:fldChar w:fldCharType="separate"/>
      </w:r>
      <w:r>
        <w:t>52</w:t>
      </w:r>
      <w:r>
        <w:fldChar w:fldCharType="end"/>
      </w:r>
      <w:r>
        <w:fldChar w:fldCharType="end"/>
      </w:r>
    </w:p>
    <w:p>
      <w:pPr>
        <w:pStyle w:val="34"/>
        <w:tabs>
          <w:tab w:val="right" w:leader="dot" w:pos="8844"/>
        </w:tabs>
        <w:ind w:left="420"/>
      </w:pPr>
      <w:r>
        <w:fldChar w:fldCharType="begin"/>
      </w:r>
      <w:r>
        <w:instrText xml:space="preserve"> HYPERLINK \l "_Toc28268" </w:instrText>
      </w:r>
      <w:r>
        <w:fldChar w:fldCharType="separate"/>
      </w:r>
      <w:r>
        <w:rPr>
          <w:rFonts w:hint="eastAsia" w:ascii="黑体" w:hAnsi="黑体" w:eastAsia="黑体"/>
          <w:szCs w:val="28"/>
        </w:rPr>
        <w:t>三、授权委托书(格式)</w:t>
      </w:r>
      <w:r>
        <w:tab/>
      </w:r>
      <w:r>
        <w:fldChar w:fldCharType="begin"/>
      </w:r>
      <w:r>
        <w:instrText xml:space="preserve"> PAGEREF _Toc28268 </w:instrText>
      </w:r>
      <w:r>
        <w:fldChar w:fldCharType="separate"/>
      </w:r>
      <w:r>
        <w:t>53</w:t>
      </w:r>
      <w:r>
        <w:fldChar w:fldCharType="end"/>
      </w:r>
      <w:r>
        <w:fldChar w:fldCharType="end"/>
      </w:r>
    </w:p>
    <w:p>
      <w:pPr>
        <w:pStyle w:val="34"/>
        <w:tabs>
          <w:tab w:val="right" w:leader="dot" w:pos="8844"/>
        </w:tabs>
        <w:ind w:left="420"/>
      </w:pPr>
      <w:r>
        <w:fldChar w:fldCharType="begin"/>
      </w:r>
      <w:r>
        <w:instrText xml:space="preserve"> HYPERLINK \l "_Toc19053" </w:instrText>
      </w:r>
      <w:r>
        <w:fldChar w:fldCharType="separate"/>
      </w:r>
      <w:r>
        <w:rPr>
          <w:rFonts w:hint="eastAsia" w:ascii="黑体" w:hAnsi="黑体" w:eastAsia="黑体"/>
          <w:szCs w:val="28"/>
        </w:rPr>
        <w:t>四、保证金</w:t>
      </w:r>
      <w:r>
        <w:tab/>
      </w:r>
      <w:r>
        <w:fldChar w:fldCharType="begin"/>
      </w:r>
      <w:r>
        <w:instrText xml:space="preserve"> PAGEREF _Toc19053 </w:instrText>
      </w:r>
      <w:r>
        <w:fldChar w:fldCharType="separate"/>
      </w:r>
      <w:r>
        <w:t>54</w:t>
      </w:r>
      <w:r>
        <w:fldChar w:fldCharType="end"/>
      </w:r>
      <w:r>
        <w:fldChar w:fldCharType="end"/>
      </w:r>
    </w:p>
    <w:p>
      <w:pPr>
        <w:pStyle w:val="23"/>
        <w:tabs>
          <w:tab w:val="right" w:leader="dot" w:pos="8844"/>
        </w:tabs>
        <w:ind w:left="840"/>
      </w:pPr>
      <w:r>
        <w:fldChar w:fldCharType="begin"/>
      </w:r>
      <w:r>
        <w:instrText xml:space="preserve"> HYPERLINK \l "_Toc30699" </w:instrText>
      </w:r>
      <w:r>
        <w:fldChar w:fldCharType="separate"/>
      </w:r>
      <w:r>
        <w:rPr>
          <w:rFonts w:hint="eastAsia" w:ascii="宋体" w:hAnsi="宋体"/>
          <w:szCs w:val="21"/>
        </w:rPr>
        <w:t>附件4-1 保函（格式）</w:t>
      </w:r>
      <w:r>
        <w:tab/>
      </w:r>
      <w:r>
        <w:fldChar w:fldCharType="begin"/>
      </w:r>
      <w:r>
        <w:instrText xml:space="preserve"> PAGEREF _Toc30699 </w:instrText>
      </w:r>
      <w:r>
        <w:fldChar w:fldCharType="separate"/>
      </w:r>
      <w:r>
        <w:t>54</w:t>
      </w:r>
      <w:r>
        <w:fldChar w:fldCharType="end"/>
      </w:r>
      <w:r>
        <w:fldChar w:fldCharType="end"/>
      </w:r>
    </w:p>
    <w:p>
      <w:pPr>
        <w:pStyle w:val="23"/>
        <w:tabs>
          <w:tab w:val="right" w:leader="dot" w:pos="8844"/>
        </w:tabs>
        <w:ind w:left="840"/>
      </w:pPr>
      <w:r>
        <w:fldChar w:fldCharType="begin"/>
      </w:r>
      <w:r>
        <w:instrText xml:space="preserve"> HYPERLINK \l "_Toc12321" </w:instrText>
      </w:r>
      <w:r>
        <w:fldChar w:fldCharType="separate"/>
      </w:r>
      <w:r>
        <w:rPr>
          <w:rFonts w:hint="eastAsia" w:ascii="宋体" w:hAnsi="宋体"/>
          <w:szCs w:val="21"/>
        </w:rPr>
        <w:t>件5-1 报价表</w:t>
      </w:r>
      <w:r>
        <w:tab/>
      </w:r>
      <w:r>
        <w:fldChar w:fldCharType="begin"/>
      </w:r>
      <w:r>
        <w:instrText xml:space="preserve"> PAGEREF _Toc12321 </w:instrText>
      </w:r>
      <w:r>
        <w:fldChar w:fldCharType="separate"/>
      </w:r>
      <w:r>
        <w:t>58</w:t>
      </w:r>
      <w:r>
        <w:fldChar w:fldCharType="end"/>
      </w:r>
      <w:r>
        <w:fldChar w:fldCharType="end"/>
      </w:r>
    </w:p>
    <w:p>
      <w:pPr>
        <w:pStyle w:val="23"/>
        <w:tabs>
          <w:tab w:val="right" w:leader="dot" w:pos="8844"/>
        </w:tabs>
        <w:ind w:left="840"/>
      </w:pPr>
      <w:r>
        <w:fldChar w:fldCharType="begin"/>
      </w:r>
      <w:r>
        <w:instrText xml:space="preserve"> HYPERLINK \l "_Toc30171" </w:instrText>
      </w:r>
      <w:r>
        <w:fldChar w:fldCharType="separate"/>
      </w:r>
      <w:r>
        <w:rPr>
          <w:rFonts w:hint="eastAsia" w:ascii="宋体" w:hAnsi="宋体"/>
          <w:szCs w:val="21"/>
        </w:rPr>
        <w:t>附件5-2 分项报价说明</w:t>
      </w:r>
      <w:r>
        <w:tab/>
      </w:r>
      <w:r>
        <w:fldChar w:fldCharType="begin"/>
      </w:r>
      <w:r>
        <w:instrText xml:space="preserve"> PAGEREF _Toc30171 </w:instrText>
      </w:r>
      <w:r>
        <w:fldChar w:fldCharType="separate"/>
      </w:r>
      <w:r>
        <w:t>59</w:t>
      </w:r>
      <w:r>
        <w:fldChar w:fldCharType="end"/>
      </w:r>
      <w:r>
        <w:fldChar w:fldCharType="end"/>
      </w:r>
    </w:p>
    <w:p>
      <w:pPr>
        <w:pStyle w:val="23"/>
        <w:tabs>
          <w:tab w:val="right" w:leader="dot" w:pos="8844"/>
        </w:tabs>
        <w:ind w:left="840"/>
      </w:pPr>
      <w:r>
        <w:fldChar w:fldCharType="begin"/>
      </w:r>
      <w:r>
        <w:instrText xml:space="preserve"> HYPERLINK \l "_Toc2123" </w:instrText>
      </w:r>
      <w:r>
        <w:fldChar w:fldCharType="separate"/>
      </w:r>
      <w:r>
        <w:rPr>
          <w:rFonts w:hint="eastAsia" w:ascii="宋体" w:hAnsi="宋体" w:cs="宋体"/>
          <w:szCs w:val="21"/>
        </w:rPr>
        <w:t xml:space="preserve">附件5-3 </w:t>
      </w:r>
      <w:r>
        <w:rPr>
          <w:rFonts w:hint="eastAsia" w:ascii="宋体" w:hAnsi="宋体"/>
          <w:spacing w:val="-2"/>
          <w:position w:val="-3"/>
          <w:szCs w:val="21"/>
        </w:rPr>
        <w:t>分</w:t>
      </w:r>
      <w:r>
        <w:rPr>
          <w:rFonts w:hint="eastAsia" w:ascii="宋体" w:hAnsi="宋体"/>
          <w:position w:val="-3"/>
          <w:szCs w:val="21"/>
        </w:rPr>
        <w:t>项</w:t>
      </w:r>
      <w:r>
        <w:rPr>
          <w:rFonts w:hint="eastAsia" w:ascii="宋体" w:hAnsi="宋体"/>
          <w:spacing w:val="-2"/>
          <w:position w:val="-3"/>
          <w:szCs w:val="21"/>
        </w:rPr>
        <w:t>报</w:t>
      </w:r>
      <w:r>
        <w:rPr>
          <w:rFonts w:hint="eastAsia" w:ascii="宋体" w:hAnsi="宋体"/>
          <w:position w:val="-3"/>
          <w:szCs w:val="21"/>
        </w:rPr>
        <w:t>价明细表</w:t>
      </w:r>
      <w:r>
        <w:tab/>
      </w:r>
      <w:r>
        <w:fldChar w:fldCharType="begin"/>
      </w:r>
      <w:r>
        <w:instrText xml:space="preserve"> PAGEREF _Toc2123 </w:instrText>
      </w:r>
      <w:r>
        <w:fldChar w:fldCharType="separate"/>
      </w:r>
      <w:r>
        <w:t>59</w:t>
      </w:r>
      <w:r>
        <w:fldChar w:fldCharType="end"/>
      </w:r>
      <w:r>
        <w:fldChar w:fldCharType="end"/>
      </w:r>
    </w:p>
    <w:p>
      <w:pPr>
        <w:pStyle w:val="34"/>
        <w:tabs>
          <w:tab w:val="right" w:leader="dot" w:pos="8844"/>
        </w:tabs>
        <w:ind w:left="420"/>
      </w:pPr>
      <w:r>
        <w:fldChar w:fldCharType="begin"/>
      </w:r>
      <w:r>
        <w:instrText xml:space="preserve"> HYPERLINK \l "_Toc23062" </w:instrText>
      </w:r>
      <w:r>
        <w:fldChar w:fldCharType="separate"/>
      </w:r>
      <w:r>
        <w:rPr>
          <w:rFonts w:hint="eastAsia" w:ascii="黑体" w:hAnsi="黑体" w:eastAsia="黑体"/>
          <w:szCs w:val="28"/>
        </w:rPr>
        <w:t>六、采购需求的响应</w:t>
      </w:r>
      <w:r>
        <w:tab/>
      </w:r>
      <w:r>
        <w:fldChar w:fldCharType="begin"/>
      </w:r>
      <w:r>
        <w:instrText xml:space="preserve"> PAGEREF _Toc23062 </w:instrText>
      </w:r>
      <w:r>
        <w:fldChar w:fldCharType="separate"/>
      </w:r>
      <w:r>
        <w:t>60</w:t>
      </w:r>
      <w:r>
        <w:fldChar w:fldCharType="end"/>
      </w:r>
      <w:r>
        <w:fldChar w:fldCharType="end"/>
      </w:r>
    </w:p>
    <w:p>
      <w:pPr>
        <w:pStyle w:val="23"/>
        <w:tabs>
          <w:tab w:val="right" w:leader="dot" w:pos="8844"/>
        </w:tabs>
        <w:ind w:left="840"/>
      </w:pPr>
      <w:r>
        <w:fldChar w:fldCharType="begin"/>
      </w:r>
      <w:r>
        <w:instrText xml:space="preserve"> HYPERLINK \l "_Toc28051" </w:instrText>
      </w:r>
      <w:r>
        <w:fldChar w:fldCharType="separate"/>
      </w:r>
      <w:r>
        <w:rPr>
          <w:rFonts w:hint="eastAsia" w:ascii="宋体" w:hAnsi="宋体"/>
          <w:szCs w:val="21"/>
        </w:rPr>
        <w:t>附件6-1 响应-览表</w:t>
      </w:r>
      <w:r>
        <w:tab/>
      </w:r>
      <w:r>
        <w:fldChar w:fldCharType="begin"/>
      </w:r>
      <w:r>
        <w:instrText xml:space="preserve"> PAGEREF _Toc28051 </w:instrText>
      </w:r>
      <w:r>
        <w:fldChar w:fldCharType="separate"/>
      </w:r>
      <w:r>
        <w:t>60</w:t>
      </w:r>
      <w:r>
        <w:fldChar w:fldCharType="end"/>
      </w:r>
      <w:r>
        <w:fldChar w:fldCharType="end"/>
      </w:r>
    </w:p>
    <w:p>
      <w:pPr>
        <w:pStyle w:val="34"/>
        <w:tabs>
          <w:tab w:val="right" w:leader="dot" w:pos="8844"/>
        </w:tabs>
        <w:ind w:left="420"/>
      </w:pPr>
      <w:r>
        <w:fldChar w:fldCharType="begin"/>
      </w:r>
      <w:r>
        <w:instrText xml:space="preserve"> HYPERLINK \l "_Toc27634" </w:instrText>
      </w:r>
      <w:r>
        <w:fldChar w:fldCharType="separate"/>
      </w:r>
      <w:r>
        <w:rPr>
          <w:rFonts w:hint="eastAsia" w:ascii="黑体" w:hAnsi="黑体" w:eastAsia="黑体"/>
          <w:szCs w:val="28"/>
        </w:rPr>
        <w:t>七、合同条款偏离表</w:t>
      </w:r>
      <w:r>
        <w:tab/>
      </w:r>
      <w:r>
        <w:fldChar w:fldCharType="begin"/>
      </w:r>
      <w:r>
        <w:instrText xml:space="preserve"> PAGEREF _Toc27634 </w:instrText>
      </w:r>
      <w:r>
        <w:fldChar w:fldCharType="separate"/>
      </w:r>
      <w:r>
        <w:t>61</w:t>
      </w:r>
      <w:r>
        <w:fldChar w:fldCharType="end"/>
      </w:r>
      <w:r>
        <w:fldChar w:fldCharType="end"/>
      </w:r>
    </w:p>
    <w:p>
      <w:pPr>
        <w:pStyle w:val="34"/>
        <w:tabs>
          <w:tab w:val="right" w:leader="dot" w:pos="8844"/>
        </w:tabs>
        <w:ind w:left="420"/>
      </w:pPr>
      <w:r>
        <w:fldChar w:fldCharType="begin"/>
      </w:r>
      <w:r>
        <w:instrText xml:space="preserve"> HYPERLINK \l "_Toc3077" </w:instrText>
      </w:r>
      <w:r>
        <w:fldChar w:fldCharType="separate"/>
      </w:r>
      <w:r>
        <w:rPr>
          <w:rFonts w:hint="eastAsia" w:ascii="黑体" w:eastAsia="黑体"/>
          <w:szCs w:val="28"/>
        </w:rPr>
        <w:t>八、采购需求偏离表</w:t>
      </w:r>
      <w:r>
        <w:tab/>
      </w:r>
      <w:r>
        <w:fldChar w:fldCharType="begin"/>
      </w:r>
      <w:r>
        <w:instrText xml:space="preserve"> PAGEREF _Toc3077 </w:instrText>
      </w:r>
      <w:r>
        <w:fldChar w:fldCharType="separate"/>
      </w:r>
      <w:r>
        <w:t>62</w:t>
      </w:r>
      <w:r>
        <w:fldChar w:fldCharType="end"/>
      </w:r>
      <w:r>
        <w:fldChar w:fldCharType="end"/>
      </w:r>
    </w:p>
    <w:p>
      <w:pPr>
        <w:pStyle w:val="34"/>
        <w:tabs>
          <w:tab w:val="right" w:leader="dot" w:pos="8844"/>
        </w:tabs>
        <w:ind w:left="420"/>
      </w:pPr>
      <w:r>
        <w:fldChar w:fldCharType="begin"/>
      </w:r>
      <w:r>
        <w:instrText xml:space="preserve"> HYPERLINK \l "_Toc18735" </w:instrText>
      </w:r>
      <w:r>
        <w:fldChar w:fldCharType="separate"/>
      </w:r>
      <w:r>
        <w:rPr>
          <w:rFonts w:hint="eastAsia" w:ascii="黑体" w:hAnsi="黑体" w:eastAsia="黑体"/>
          <w:szCs w:val="28"/>
        </w:rPr>
        <w:t>九、享受政府采购政策优惠的证明资料</w:t>
      </w:r>
      <w:r>
        <w:tab/>
      </w:r>
      <w:r>
        <w:fldChar w:fldCharType="begin"/>
      </w:r>
      <w:r>
        <w:instrText xml:space="preserve"> PAGEREF _Toc18735 </w:instrText>
      </w:r>
      <w:r>
        <w:fldChar w:fldCharType="separate"/>
      </w:r>
      <w:r>
        <w:t>63</w:t>
      </w:r>
      <w:r>
        <w:fldChar w:fldCharType="end"/>
      </w:r>
      <w:r>
        <w:fldChar w:fldCharType="end"/>
      </w:r>
    </w:p>
    <w:p>
      <w:pPr>
        <w:pStyle w:val="23"/>
        <w:tabs>
          <w:tab w:val="right" w:leader="dot" w:pos="8844"/>
        </w:tabs>
        <w:ind w:left="840"/>
      </w:pPr>
      <w:r>
        <w:fldChar w:fldCharType="begin"/>
      </w:r>
      <w:r>
        <w:instrText xml:space="preserve"> HYPERLINK \l "_Toc11447" </w:instrText>
      </w:r>
      <w:r>
        <w:fldChar w:fldCharType="separate"/>
      </w:r>
      <w:r>
        <w:rPr>
          <w:rFonts w:hint="eastAsia" w:ascii="宋体" w:hAnsi="宋体"/>
          <w:szCs w:val="21"/>
        </w:rPr>
        <w:t>附件9-1小型、微型企业声明函</w:t>
      </w:r>
      <w:r>
        <w:tab/>
      </w:r>
      <w:r>
        <w:fldChar w:fldCharType="begin"/>
      </w:r>
      <w:r>
        <w:instrText xml:space="preserve"> PAGEREF _Toc11447 </w:instrText>
      </w:r>
      <w:r>
        <w:fldChar w:fldCharType="separate"/>
      </w:r>
      <w:r>
        <w:t>63</w:t>
      </w:r>
      <w:r>
        <w:fldChar w:fldCharType="end"/>
      </w:r>
      <w:r>
        <w:fldChar w:fldCharType="end"/>
      </w:r>
    </w:p>
    <w:p>
      <w:pPr>
        <w:pStyle w:val="23"/>
        <w:tabs>
          <w:tab w:val="right" w:leader="dot" w:pos="8844"/>
        </w:tabs>
        <w:ind w:left="840"/>
      </w:pPr>
      <w:r>
        <w:fldChar w:fldCharType="begin"/>
      </w:r>
      <w:r>
        <w:instrText xml:space="preserve"> HYPERLINK \l "_Toc6008" </w:instrText>
      </w:r>
      <w:r>
        <w:fldChar w:fldCharType="separate"/>
      </w:r>
      <w:r>
        <w:rPr>
          <w:rFonts w:hint="eastAsia" w:ascii="宋体" w:hAnsi="宋体" w:cs="宋体"/>
          <w:kern w:val="0"/>
          <w:szCs w:val="21"/>
        </w:rPr>
        <w:t xml:space="preserve">附件9-3 </w:t>
      </w:r>
      <w:r>
        <w:rPr>
          <w:rFonts w:hint="eastAsia" w:ascii="宋体" w:hAnsi="宋体"/>
          <w:szCs w:val="21"/>
        </w:rPr>
        <w:t>监狱企业证明资料</w:t>
      </w:r>
      <w:r>
        <w:tab/>
      </w:r>
      <w:r>
        <w:fldChar w:fldCharType="begin"/>
      </w:r>
      <w:r>
        <w:instrText xml:space="preserve"> PAGEREF _Toc6008 </w:instrText>
      </w:r>
      <w:r>
        <w:fldChar w:fldCharType="separate"/>
      </w:r>
      <w:r>
        <w:t>65</w:t>
      </w:r>
      <w:r>
        <w:fldChar w:fldCharType="end"/>
      </w:r>
      <w:r>
        <w:fldChar w:fldCharType="end"/>
      </w:r>
    </w:p>
    <w:p>
      <w:pPr>
        <w:pStyle w:val="23"/>
        <w:tabs>
          <w:tab w:val="right" w:leader="dot" w:pos="8844"/>
        </w:tabs>
        <w:ind w:left="840"/>
      </w:pPr>
      <w:r>
        <w:fldChar w:fldCharType="begin"/>
      </w:r>
      <w:r>
        <w:instrText xml:space="preserve"> HYPERLINK \l "_Toc9172" </w:instrText>
      </w:r>
      <w:r>
        <w:fldChar w:fldCharType="separate"/>
      </w:r>
      <w:r>
        <w:rPr>
          <w:rFonts w:hint="eastAsia" w:ascii="宋体" w:hAnsi="宋体" w:cs="宋体"/>
          <w:spacing w:val="6"/>
          <w:kern w:val="0"/>
          <w:szCs w:val="21"/>
        </w:rPr>
        <w:t xml:space="preserve">附件9-4 </w:t>
      </w:r>
      <w:r>
        <w:rPr>
          <w:rFonts w:hint="eastAsia" w:ascii="宋体" w:hAnsi="宋体"/>
          <w:szCs w:val="21"/>
        </w:rPr>
        <w:t>强制采购或者优先采购产品的证明材料</w:t>
      </w:r>
      <w:r>
        <w:tab/>
      </w:r>
      <w:r>
        <w:fldChar w:fldCharType="begin"/>
      </w:r>
      <w:r>
        <w:instrText xml:space="preserve"> PAGEREF _Toc9172 </w:instrText>
      </w:r>
      <w:r>
        <w:fldChar w:fldCharType="separate"/>
      </w:r>
      <w:r>
        <w:t>67</w:t>
      </w:r>
      <w:r>
        <w:fldChar w:fldCharType="end"/>
      </w:r>
      <w:r>
        <w:fldChar w:fldCharType="end"/>
      </w:r>
    </w:p>
    <w:p>
      <w:pPr>
        <w:pStyle w:val="34"/>
        <w:tabs>
          <w:tab w:val="right" w:leader="dot" w:pos="8844"/>
        </w:tabs>
        <w:ind w:left="420"/>
      </w:pPr>
      <w:r>
        <w:fldChar w:fldCharType="begin"/>
      </w:r>
      <w:r>
        <w:instrText xml:space="preserve"> HYPERLINK \l "_Toc13016" </w:instrText>
      </w:r>
      <w:r>
        <w:fldChar w:fldCharType="separate"/>
      </w:r>
      <w:r>
        <w:rPr>
          <w:rFonts w:hint="eastAsia" w:ascii="黑体" w:hAnsi="黑体" w:eastAsia="黑体"/>
          <w:szCs w:val="28"/>
        </w:rPr>
        <w:t>十、关于资格的说明(格式)</w:t>
      </w:r>
      <w:r>
        <w:tab/>
      </w:r>
      <w:r>
        <w:fldChar w:fldCharType="begin"/>
      </w:r>
      <w:r>
        <w:instrText xml:space="preserve"> PAGEREF _Toc13016 </w:instrText>
      </w:r>
      <w:r>
        <w:fldChar w:fldCharType="separate"/>
      </w:r>
      <w:r>
        <w:t>69</w:t>
      </w:r>
      <w:r>
        <w:fldChar w:fldCharType="end"/>
      </w:r>
      <w:r>
        <w:fldChar w:fldCharType="end"/>
      </w:r>
    </w:p>
    <w:p>
      <w:pPr>
        <w:pStyle w:val="34"/>
        <w:tabs>
          <w:tab w:val="right" w:leader="dot" w:pos="8844"/>
        </w:tabs>
        <w:ind w:left="420"/>
      </w:pPr>
      <w:r>
        <w:fldChar w:fldCharType="begin"/>
      </w:r>
      <w:r>
        <w:instrText xml:space="preserve"> HYPERLINK \l "_Toc23479" </w:instrText>
      </w:r>
      <w:r>
        <w:fldChar w:fldCharType="separate"/>
      </w:r>
      <w:r>
        <w:rPr>
          <w:rFonts w:hint="eastAsia" w:ascii="黑体" w:hAnsi="黑体" w:eastAsia="黑体"/>
          <w:szCs w:val="28"/>
        </w:rPr>
        <w:t>十一、响应标的符合谈判文件规定的证明文件</w:t>
      </w:r>
      <w:r>
        <w:tab/>
      </w:r>
      <w:r>
        <w:fldChar w:fldCharType="begin"/>
      </w:r>
      <w:r>
        <w:instrText xml:space="preserve"> PAGEREF _Toc23479 </w:instrText>
      </w:r>
      <w:r>
        <w:fldChar w:fldCharType="separate"/>
      </w:r>
      <w:r>
        <w:t>70</w:t>
      </w:r>
      <w:r>
        <w:fldChar w:fldCharType="end"/>
      </w:r>
      <w:r>
        <w:fldChar w:fldCharType="end"/>
      </w:r>
    </w:p>
    <w:p>
      <w:pPr>
        <w:pStyle w:val="34"/>
        <w:tabs>
          <w:tab w:val="right" w:leader="dot" w:pos="8844"/>
        </w:tabs>
        <w:ind w:left="420"/>
      </w:pPr>
      <w:r>
        <w:fldChar w:fldCharType="begin"/>
      </w:r>
      <w:r>
        <w:instrText xml:space="preserve"> HYPERLINK \l "_Toc18629" </w:instrText>
      </w:r>
      <w:r>
        <w:fldChar w:fldCharType="separate"/>
      </w:r>
      <w:r>
        <w:rPr>
          <w:rFonts w:hint="eastAsia"/>
        </w:rPr>
        <w:t>十二、供应商认为需提供的其他资料</w:t>
      </w:r>
      <w:r>
        <w:tab/>
      </w:r>
      <w:r>
        <w:fldChar w:fldCharType="begin"/>
      </w:r>
      <w:r>
        <w:instrText xml:space="preserve"> PAGEREF _Toc18629 </w:instrText>
      </w:r>
      <w:r>
        <w:fldChar w:fldCharType="separate"/>
      </w:r>
      <w:r>
        <w:t>71</w:t>
      </w:r>
      <w:r>
        <w:fldChar w:fldCharType="end"/>
      </w:r>
      <w:r>
        <w:fldChar w:fldCharType="end"/>
      </w:r>
    </w:p>
    <w:p>
      <w:pPr>
        <w:pStyle w:val="34"/>
        <w:tabs>
          <w:tab w:val="right" w:leader="dot" w:pos="8844"/>
        </w:tabs>
        <w:ind w:left="420"/>
      </w:pPr>
      <w:r>
        <w:fldChar w:fldCharType="begin"/>
      </w:r>
      <w:r>
        <w:instrText xml:space="preserve"> HYPERLINK \l "_Toc20037" </w:instrText>
      </w:r>
      <w:r>
        <w:fldChar w:fldCharType="separate"/>
      </w:r>
      <w:r>
        <w:rPr>
          <w:rFonts w:hint="eastAsia" w:ascii="黑体" w:hAnsi="黑体" w:eastAsia="黑体"/>
          <w:bCs/>
          <w:szCs w:val="28"/>
        </w:rPr>
        <w:t>十三、代理服务费承诺书</w:t>
      </w:r>
      <w:r>
        <w:tab/>
      </w:r>
      <w:r>
        <w:fldChar w:fldCharType="begin"/>
      </w:r>
      <w:r>
        <w:instrText xml:space="preserve"> PAGEREF _Toc20037 </w:instrText>
      </w:r>
      <w:r>
        <w:fldChar w:fldCharType="separate"/>
      </w:r>
      <w:r>
        <w:t>72</w:t>
      </w:r>
      <w:r>
        <w:fldChar w:fldCharType="end"/>
      </w:r>
      <w:r>
        <w:fldChar w:fldCharType="end"/>
      </w:r>
    </w:p>
    <w:p>
      <w:pPr>
        <w:pStyle w:val="34"/>
        <w:tabs>
          <w:tab w:val="right" w:leader="dot" w:pos="8844"/>
        </w:tabs>
        <w:ind w:left="420"/>
      </w:pPr>
      <w:r>
        <w:fldChar w:fldCharType="begin"/>
      </w:r>
      <w:r>
        <w:instrText xml:space="preserve"> HYPERLINK \l "_Toc3261" </w:instrText>
      </w:r>
      <w:r>
        <w:fldChar w:fldCharType="separate"/>
      </w:r>
      <w:r>
        <w:rPr>
          <w:rFonts w:hint="eastAsia"/>
        </w:rPr>
        <w:t>十四、承诺函</w:t>
      </w:r>
      <w:r>
        <w:tab/>
      </w:r>
      <w:r>
        <w:fldChar w:fldCharType="begin"/>
      </w:r>
      <w:r>
        <w:instrText xml:space="preserve"> PAGEREF _Toc3261 </w:instrText>
      </w:r>
      <w:r>
        <w:fldChar w:fldCharType="separate"/>
      </w:r>
      <w:r>
        <w:t>73</w:t>
      </w:r>
      <w:r>
        <w:fldChar w:fldCharType="end"/>
      </w:r>
      <w:r>
        <w:fldChar w:fldCharType="end"/>
      </w:r>
    </w:p>
    <w:p>
      <w:pPr>
        <w:pStyle w:val="5"/>
        <w:rPr>
          <w:rFonts w:hAnsi="宋体"/>
          <w:szCs w:val="24"/>
        </w:rPr>
      </w:pPr>
      <w:r>
        <w:rPr>
          <w:rFonts w:hAnsi="宋体"/>
          <w:bCs w:val="0"/>
          <w:szCs w:val="24"/>
        </w:rPr>
        <w:fldChar w:fldCharType="end"/>
      </w:r>
    </w:p>
    <w:p>
      <w:pPr>
        <w:pStyle w:val="5"/>
        <w:adjustRightInd w:val="0"/>
        <w:snapToGrid w:val="0"/>
        <w:spacing w:beforeLines="50" w:line="360" w:lineRule="auto"/>
        <w:rPr>
          <w:rFonts w:ascii="黑体" w:hAnsi="黑体" w:eastAsia="黑体"/>
          <w:sz w:val="32"/>
          <w:szCs w:val="32"/>
        </w:rPr>
      </w:pPr>
      <w:r>
        <w:rPr>
          <w:rFonts w:hAnsi="宋体"/>
          <w:szCs w:val="24"/>
        </w:rPr>
        <w:br w:type="page"/>
      </w:r>
      <w:bookmarkStart w:id="0" w:name="_Toc9482"/>
      <w:r>
        <w:rPr>
          <w:rFonts w:hint="eastAsia" w:ascii="黑体" w:hAnsi="黑体" w:eastAsia="黑体"/>
          <w:sz w:val="32"/>
          <w:szCs w:val="32"/>
        </w:rPr>
        <w:t>第一章 谈判邀请</w:t>
      </w:r>
      <w:bookmarkEnd w:id="0"/>
    </w:p>
    <w:p>
      <w:pPr>
        <w:adjustRightInd w:val="0"/>
        <w:snapToGrid w:val="0"/>
        <w:spacing w:beforeLines="50" w:line="360" w:lineRule="auto"/>
        <w:rPr>
          <w:rFonts w:ascii="宋体" w:hAnsi="宋体"/>
          <w:szCs w:val="21"/>
          <w:u w:val="single"/>
        </w:rPr>
      </w:pPr>
    </w:p>
    <w:p>
      <w:pPr>
        <w:adjustRightInd w:val="0"/>
        <w:snapToGrid w:val="0"/>
        <w:spacing w:beforeLines="50" w:line="360" w:lineRule="auto"/>
        <w:rPr>
          <w:rFonts w:ascii="宋体" w:hAnsi="宋体"/>
          <w:szCs w:val="21"/>
        </w:rPr>
      </w:pPr>
      <w:r>
        <w:rPr>
          <w:rFonts w:hint="eastAsia" w:ascii="宋体" w:hAnsi="宋体"/>
          <w:szCs w:val="21"/>
        </w:rPr>
        <w:t>应邀供应商：</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湖南省水利厅（采购人名称）的眼科设备等采购 (项目名称)进行竞争性谈判采购，邀请你单位参加谈判采购活动。</w:t>
      </w:r>
    </w:p>
    <w:p>
      <w:pPr>
        <w:pStyle w:val="6"/>
        <w:adjustRightInd w:val="0"/>
        <w:snapToGrid w:val="0"/>
        <w:spacing w:beforeLines="50"/>
        <w:rPr>
          <w:rFonts w:ascii="黑体" w:hAnsi="黑体" w:eastAsia="黑体"/>
        </w:rPr>
      </w:pPr>
      <w:bookmarkStart w:id="1" w:name="_Toc22201055"/>
      <w:bookmarkStart w:id="2" w:name="_Toc15232"/>
      <w:r>
        <w:rPr>
          <w:rFonts w:hint="eastAsia" w:ascii="黑体" w:hAnsi="黑体" w:eastAsia="黑体"/>
        </w:rPr>
        <w:t>一、采购项目名称、编号</w:t>
      </w:r>
      <w:bookmarkEnd w:id="1"/>
      <w:bookmarkEnd w:id="2"/>
    </w:p>
    <w:p>
      <w:pPr>
        <w:adjustRightInd w:val="0"/>
        <w:snapToGrid w:val="0"/>
        <w:spacing w:beforeLines="50" w:line="360" w:lineRule="auto"/>
        <w:ind w:firstLine="420" w:firstLineChars="200"/>
        <w:rPr>
          <w:rFonts w:ascii="宋体" w:hAnsi="宋体"/>
          <w:szCs w:val="21"/>
        </w:rPr>
      </w:pPr>
      <w:r>
        <w:rPr>
          <w:rFonts w:hint="eastAsia" w:ascii="宋体" w:hAnsi="宋体"/>
          <w:szCs w:val="21"/>
        </w:rPr>
        <w:t>1、采购项目名称：湖南省水利厅眼科设备采购项目竞争性谈判</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2、政府采购编号：湘财采计[2020]003678号</w:t>
      </w:r>
    </w:p>
    <w:p>
      <w:pPr>
        <w:adjustRightInd w:val="0"/>
        <w:snapToGrid w:val="0"/>
        <w:spacing w:beforeLines="50" w:line="360" w:lineRule="auto"/>
        <w:ind w:firstLine="420" w:firstLineChars="200"/>
        <w:rPr>
          <w:rFonts w:ascii="宋体" w:hAnsi="宋体"/>
          <w:i/>
          <w:szCs w:val="21"/>
        </w:rPr>
      </w:pPr>
      <w:r>
        <w:rPr>
          <w:rFonts w:hint="eastAsia" w:ascii="宋体" w:hAnsi="宋体"/>
          <w:szCs w:val="21"/>
        </w:rPr>
        <w:t>3、采购代理编号：ZQXM2020-0039</w:t>
      </w:r>
    </w:p>
    <w:p>
      <w:pPr>
        <w:pStyle w:val="6"/>
        <w:adjustRightInd w:val="0"/>
        <w:snapToGrid w:val="0"/>
        <w:spacing w:beforeLines="50"/>
        <w:rPr>
          <w:rFonts w:ascii="黑体" w:hAnsi="黑体" w:eastAsia="黑体"/>
        </w:rPr>
      </w:pPr>
      <w:bookmarkStart w:id="3" w:name="_Toc4955"/>
      <w:bookmarkStart w:id="4" w:name="_Toc22201056"/>
      <w:r>
        <w:rPr>
          <w:rFonts w:hint="eastAsia" w:ascii="黑体" w:hAnsi="黑体" w:eastAsia="黑体"/>
        </w:rPr>
        <w:t>二、采购人的采购需求</w:t>
      </w:r>
      <w:bookmarkEnd w:id="3"/>
      <w:bookmarkEnd w:id="4"/>
    </w:p>
    <w:tbl>
      <w:tblPr>
        <w:tblStyle w:val="43"/>
        <w:tblW w:w="8363" w:type="dxa"/>
        <w:tblInd w:w="534"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08"/>
        <w:gridCol w:w="1276"/>
        <w:gridCol w:w="2268"/>
        <w:gridCol w:w="709"/>
        <w:gridCol w:w="1701"/>
        <w:gridCol w:w="1701"/>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398" w:hRule="atLeast"/>
        </w:trPr>
        <w:tc>
          <w:tcPr>
            <w:tcW w:w="708" w:type="dxa"/>
            <w:tcBorders>
              <w:right w:val="single" w:color="auto" w:sz="4" w:space="0"/>
            </w:tcBorders>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包号</w:t>
            </w:r>
          </w:p>
        </w:tc>
        <w:tc>
          <w:tcPr>
            <w:tcW w:w="1276" w:type="dxa"/>
            <w:tcBorders>
              <w:left w:val="single" w:color="auto" w:sz="4" w:space="0"/>
            </w:tcBorders>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kern w:val="0"/>
              </w:rPr>
              <w:t>包名称</w:t>
            </w:r>
          </w:p>
        </w:tc>
        <w:tc>
          <w:tcPr>
            <w:tcW w:w="2268" w:type="dxa"/>
            <w:tcBorders>
              <w:right w:val="single" w:color="auto" w:sz="4" w:space="0"/>
            </w:tcBorders>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简要技术要求</w:t>
            </w:r>
          </w:p>
        </w:tc>
        <w:tc>
          <w:tcPr>
            <w:tcW w:w="709" w:type="dxa"/>
            <w:tcBorders>
              <w:left w:val="single" w:color="auto" w:sz="4" w:space="0"/>
              <w:right w:val="single" w:color="auto" w:sz="4" w:space="0"/>
            </w:tcBorders>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数量</w:t>
            </w:r>
          </w:p>
        </w:tc>
        <w:tc>
          <w:tcPr>
            <w:tcW w:w="1701" w:type="dxa"/>
            <w:tcBorders>
              <w:left w:val="single" w:color="auto" w:sz="4" w:space="0"/>
              <w:right w:val="single" w:color="auto" w:sz="4" w:space="0"/>
            </w:tcBorders>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采购项目预算</w:t>
            </w:r>
          </w:p>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（元人民币）</w:t>
            </w:r>
          </w:p>
        </w:tc>
        <w:tc>
          <w:tcPr>
            <w:tcW w:w="1701" w:type="dxa"/>
            <w:shd w:val="clear" w:color="auto" w:fill="auto"/>
            <w:vAlign w:val="center"/>
          </w:tcPr>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代理服务收费</w:t>
            </w:r>
          </w:p>
          <w:p>
            <w:pPr>
              <w:widowControl/>
              <w:adjustRightInd w:val="0"/>
              <w:snapToGrid w:val="0"/>
              <w:spacing w:beforeLines="50" w:line="360" w:lineRule="auto"/>
              <w:jc w:val="center"/>
              <w:rPr>
                <w:rFonts w:ascii="宋体" w:hAnsi="宋体" w:cs="宋体"/>
                <w:kern w:val="0"/>
                <w:szCs w:val="21"/>
              </w:rPr>
            </w:pPr>
            <w:r>
              <w:rPr>
                <w:rFonts w:hint="eastAsia" w:ascii="宋体" w:hAnsi="宋体" w:cs="宋体"/>
                <w:kern w:val="0"/>
                <w:szCs w:val="21"/>
              </w:rPr>
              <w:t>最高限价</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18" w:hRule="atLeast"/>
        </w:trPr>
        <w:tc>
          <w:tcPr>
            <w:tcW w:w="708" w:type="dxa"/>
            <w:tcBorders>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01</w:t>
            </w:r>
          </w:p>
        </w:tc>
        <w:tc>
          <w:tcPr>
            <w:tcW w:w="1276" w:type="dxa"/>
            <w:tcBorders>
              <w:lef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眼科设备</w:t>
            </w:r>
          </w:p>
        </w:tc>
        <w:tc>
          <w:tcPr>
            <w:tcW w:w="2268" w:type="dxa"/>
            <w:tcBorders>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详见采购需求</w:t>
            </w:r>
          </w:p>
        </w:tc>
        <w:tc>
          <w:tcPr>
            <w:tcW w:w="709" w:type="dxa"/>
            <w:tcBorders>
              <w:left w:val="single" w:color="auto" w:sz="4" w:space="0"/>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1</w:t>
            </w:r>
          </w:p>
        </w:tc>
        <w:tc>
          <w:tcPr>
            <w:tcW w:w="1701" w:type="dxa"/>
            <w:tcBorders>
              <w:left w:val="single" w:color="auto" w:sz="4" w:space="0"/>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300000</w:t>
            </w:r>
          </w:p>
        </w:tc>
        <w:tc>
          <w:tcPr>
            <w:tcW w:w="1701" w:type="dxa"/>
            <w:shd w:val="clear" w:color="auto" w:fill="auto"/>
          </w:tcPr>
          <w:p>
            <w:pPr>
              <w:pStyle w:val="24"/>
              <w:adjustRightInd w:val="0"/>
              <w:snapToGrid w:val="0"/>
              <w:spacing w:beforeLines="50" w:line="360" w:lineRule="auto"/>
              <w:jc w:val="center"/>
              <w:rPr>
                <w:rFonts w:hAnsi="宋体"/>
                <w:kern w:val="0"/>
              </w:rPr>
            </w:pPr>
            <w:r>
              <w:rPr>
                <w:rFonts w:hint="eastAsia" w:hAnsi="宋体"/>
                <w:kern w:val="0"/>
              </w:rPr>
              <w:t>4500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18" w:hRule="atLeast"/>
        </w:trPr>
        <w:tc>
          <w:tcPr>
            <w:tcW w:w="708" w:type="dxa"/>
            <w:tcBorders>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02</w:t>
            </w:r>
          </w:p>
        </w:tc>
        <w:tc>
          <w:tcPr>
            <w:tcW w:w="1276" w:type="dxa"/>
            <w:tcBorders>
              <w:lef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产康设备</w:t>
            </w:r>
          </w:p>
        </w:tc>
        <w:tc>
          <w:tcPr>
            <w:tcW w:w="2268" w:type="dxa"/>
            <w:tcBorders>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详见采购需求</w:t>
            </w:r>
          </w:p>
        </w:tc>
        <w:tc>
          <w:tcPr>
            <w:tcW w:w="709" w:type="dxa"/>
            <w:tcBorders>
              <w:left w:val="single" w:color="auto" w:sz="4" w:space="0"/>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1</w:t>
            </w:r>
          </w:p>
        </w:tc>
        <w:tc>
          <w:tcPr>
            <w:tcW w:w="1701" w:type="dxa"/>
            <w:tcBorders>
              <w:left w:val="single" w:color="auto" w:sz="4" w:space="0"/>
              <w:right w:val="single" w:color="auto" w:sz="4" w:space="0"/>
            </w:tcBorders>
            <w:shd w:val="clear" w:color="auto" w:fill="auto"/>
          </w:tcPr>
          <w:p>
            <w:pPr>
              <w:pStyle w:val="24"/>
              <w:adjustRightInd w:val="0"/>
              <w:snapToGrid w:val="0"/>
              <w:spacing w:beforeLines="50" w:line="360" w:lineRule="auto"/>
              <w:jc w:val="center"/>
              <w:rPr>
                <w:rFonts w:hAnsi="宋体"/>
                <w:kern w:val="0"/>
              </w:rPr>
            </w:pPr>
            <w:r>
              <w:rPr>
                <w:rFonts w:hint="eastAsia" w:hAnsi="宋体"/>
                <w:kern w:val="0"/>
              </w:rPr>
              <w:t>480000</w:t>
            </w:r>
          </w:p>
        </w:tc>
        <w:tc>
          <w:tcPr>
            <w:tcW w:w="1701" w:type="dxa"/>
            <w:shd w:val="clear" w:color="auto" w:fill="auto"/>
          </w:tcPr>
          <w:p>
            <w:pPr>
              <w:pStyle w:val="24"/>
              <w:adjustRightInd w:val="0"/>
              <w:snapToGrid w:val="0"/>
              <w:spacing w:beforeLines="50" w:line="360" w:lineRule="auto"/>
              <w:jc w:val="center"/>
              <w:rPr>
                <w:rFonts w:hAnsi="宋体"/>
                <w:kern w:val="0"/>
              </w:rPr>
            </w:pPr>
            <w:r>
              <w:rPr>
                <w:rFonts w:hint="eastAsia" w:hAnsi="宋体"/>
                <w:kern w:val="0"/>
              </w:rPr>
              <w:t>7200</w:t>
            </w:r>
          </w:p>
        </w:tc>
      </w:tr>
    </w:tbl>
    <w:p>
      <w:pPr>
        <w:adjustRightInd w:val="0"/>
        <w:snapToGrid w:val="0"/>
        <w:spacing w:beforeLines="50" w:line="360" w:lineRule="auto"/>
        <w:ind w:firstLine="420" w:firstLineChars="200"/>
        <w:rPr>
          <w:rFonts w:ascii="宋体" w:hAnsi="宋体"/>
          <w:b/>
          <w:szCs w:val="21"/>
        </w:rPr>
      </w:pPr>
      <w:r>
        <w:rPr>
          <w:rFonts w:hint="eastAsia" w:ascii="宋体" w:hAnsi="宋体"/>
          <w:szCs w:val="21"/>
        </w:rPr>
        <w:t>1、</w:t>
      </w:r>
      <w:r>
        <w:rPr>
          <w:rFonts w:hint="eastAsia" w:ascii="宋体" w:hAnsi="宋体"/>
          <w:b/>
          <w:szCs w:val="21"/>
        </w:rPr>
        <w:t>采购项目需要落实的政府采购政策</w:t>
      </w:r>
      <w:r>
        <w:rPr>
          <w:rFonts w:hint="eastAsia" w:ascii="宋体" w:hAnsi="宋体"/>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（1）优先采购：政府采购鼓励采购节能环保产品、政府采购支持两型产品。</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（2）价格评审优惠：政府采购促进中小企业发展（包括政府采购支持监狱企业发展、政府采购促进残疾人就业）。</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w:t>
      </w:r>
      <w:r>
        <w:rPr>
          <w:rFonts w:hint="eastAsia" w:ascii="宋体" w:hAnsi="宋体"/>
          <w:b/>
          <w:szCs w:val="21"/>
        </w:rPr>
        <w:t>采购进口产品</w:t>
      </w:r>
      <w:r>
        <w:rPr>
          <w:rFonts w:hint="eastAsia" w:ascii="宋体" w:hAnsi="宋体"/>
          <w:szCs w:val="21"/>
        </w:rPr>
        <w:t>：本项目（接受）进口产品参加谈判采购。</w:t>
      </w:r>
    </w:p>
    <w:p>
      <w:pPr>
        <w:pStyle w:val="6"/>
        <w:adjustRightInd w:val="0"/>
        <w:snapToGrid w:val="0"/>
        <w:spacing w:beforeLines="50"/>
        <w:rPr>
          <w:rFonts w:ascii="黑体" w:hAnsi="黑体" w:eastAsia="黑体"/>
        </w:rPr>
      </w:pPr>
      <w:bookmarkStart w:id="5" w:name="_Toc18819"/>
      <w:bookmarkStart w:id="6" w:name="_Toc22201057"/>
      <w:r>
        <w:rPr>
          <w:rFonts w:hint="eastAsia" w:ascii="黑体" w:hAnsi="黑体" w:eastAsia="黑体"/>
        </w:rPr>
        <w:t>三、供应商的资格要求</w:t>
      </w:r>
      <w:bookmarkEnd w:id="5"/>
      <w:bookmarkEnd w:id="6"/>
    </w:p>
    <w:p>
      <w:pPr>
        <w:adjustRightInd w:val="0"/>
        <w:snapToGrid w:val="0"/>
        <w:spacing w:beforeLines="50" w:line="360" w:lineRule="auto"/>
        <w:ind w:firstLine="420" w:firstLineChars="200"/>
        <w:rPr>
          <w:rFonts w:ascii="宋体" w:hAnsi="宋体"/>
          <w:szCs w:val="21"/>
        </w:rPr>
      </w:pPr>
      <w:r>
        <w:rPr>
          <w:rFonts w:hint="eastAsia" w:ascii="宋体" w:hAnsi="宋体"/>
          <w:szCs w:val="21"/>
        </w:rPr>
        <w:t>1、供应商的基本资格条件：供应商必须是在中华人民共和国境内注册登记的法人、其他组织或者自然人，且应当符合《政府采购法》第二十二条第一款的规定，即：</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（1）具有独立承担民事责任的能力；</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（2）具有良好的商业信誉和健全的财务会计制度；</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（3）具有履行合同所必需的设备和专业技术能力；</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（4）有依法缴纳税收和社会保障资金的良好记录；</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（5）参加政府采购活动前三年内，在经营活动中没有重大违法记录；</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（6）法律、行政法规规定的其他条件。</w:t>
      </w:r>
    </w:p>
    <w:p>
      <w:pPr>
        <w:adjustRightInd w:val="0"/>
        <w:snapToGrid w:val="0"/>
        <w:spacing w:beforeLines="50" w:line="360" w:lineRule="auto"/>
        <w:ind w:firstLine="420" w:firstLineChars="200"/>
        <w:rPr>
          <w:rFonts w:ascii="宋体" w:hAnsi="宋体"/>
          <w:szCs w:val="21"/>
          <w:highlight w:val="yellow"/>
        </w:rPr>
      </w:pPr>
      <w:r>
        <w:rPr>
          <w:rFonts w:hint="eastAsia" w:ascii="宋体" w:hAnsi="宋体"/>
          <w:szCs w:val="21"/>
        </w:rPr>
        <w:t>2、采购项目的特定资格条件：</w:t>
      </w:r>
    </w:p>
    <w:p>
      <w:pPr>
        <w:pStyle w:val="2"/>
        <w:ind w:firstLine="420" w:firstLineChars="200"/>
        <w:rPr>
          <w:rFonts w:ascii="宋体" w:hAnsi="宋体"/>
          <w:szCs w:val="21"/>
          <w:lang w:val="en-US"/>
        </w:rPr>
      </w:pPr>
      <w:r>
        <w:rPr>
          <w:rFonts w:hint="eastAsia" w:ascii="宋体" w:hAnsi="宋体"/>
          <w:szCs w:val="21"/>
          <w:lang w:val="en-US"/>
        </w:rPr>
        <w:t>（1）投标人须具有“医疗器械生产企业许可证”或“医疗器械经营企业许可证”，提供证书复印件；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3、单位负责人为同一人或者存在直接控股、管理关系的不同供应商，不得参加同一合同项下的政府采购活动。</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4、为本采购项目提供整体设计、规范编制或者项目管理、监理、检测等服务的，不得再参加此项目的其他采购活动。</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5、列入失信被执行人、重大税收违法案件当事人名单，列入政府采购严重违法失信行为记录名单的，拒绝其参与政府采购活动。</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6、供应商为联合体形式的。本次谈判采购(接受或不接受) 供应商为联合体形式。接受联合体形式的，联合体应当具备下列条件：。</w:t>
      </w:r>
    </w:p>
    <w:p>
      <w:pPr>
        <w:pStyle w:val="6"/>
        <w:adjustRightInd w:val="0"/>
        <w:snapToGrid w:val="0"/>
        <w:spacing w:beforeLines="50"/>
        <w:rPr>
          <w:rFonts w:ascii="黑体" w:hAnsi="黑体" w:eastAsia="黑体"/>
        </w:rPr>
      </w:pPr>
      <w:bookmarkStart w:id="7" w:name="_Toc22201058"/>
      <w:bookmarkStart w:id="8" w:name="_Toc32657"/>
      <w:r>
        <w:rPr>
          <w:rFonts w:hint="eastAsia" w:ascii="黑体" w:hAnsi="黑体" w:eastAsia="黑体"/>
        </w:rPr>
        <w:t>四、获取谈判文件的时间、地点及方式</w:t>
      </w:r>
      <w:bookmarkEnd w:id="7"/>
      <w:bookmarkEnd w:id="8"/>
    </w:p>
    <w:p>
      <w:pPr>
        <w:adjustRightInd w:val="0"/>
        <w:snapToGrid w:val="0"/>
        <w:spacing w:beforeLines="50" w:line="360" w:lineRule="auto"/>
        <w:ind w:firstLine="420" w:firstLineChars="200"/>
        <w:rPr>
          <w:rFonts w:ascii="宋体" w:hAnsi="宋体"/>
          <w:szCs w:val="21"/>
        </w:rPr>
      </w:pPr>
      <w:r>
        <w:rPr>
          <w:rFonts w:hint="eastAsia" w:ascii="宋体" w:hAnsi="宋体"/>
          <w:szCs w:val="21"/>
        </w:rPr>
        <w:t>1、获本采购邀请供应商，请于 2020 年11 月20 日至 2020 年11 月25 日，每日上午09：00 时至11:30 时，下午14:30 时至17:00 时（北京时间）双休日及节假日除外。</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2、获取磋商文件的地点：长沙市天心区湘府中路369号星城荣域园C栋8楼</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3、谈判文件每套售价400元，售后不退。可选择现金、金融机构转账方式购买谈判文件。</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4、获取招标文件的材料要求：本人身份证原件、投标人法人委托授权书（委托购买）、投标人营业执照副本和组织机构代码证副本复印件。</w:t>
      </w:r>
    </w:p>
    <w:p>
      <w:pPr>
        <w:pStyle w:val="2"/>
      </w:pPr>
    </w:p>
    <w:p>
      <w:pPr>
        <w:pStyle w:val="6"/>
        <w:adjustRightInd w:val="0"/>
        <w:snapToGrid w:val="0"/>
        <w:spacing w:beforeLines="50"/>
        <w:rPr>
          <w:rFonts w:ascii="黑体" w:hAnsi="黑体" w:eastAsia="黑体"/>
        </w:rPr>
      </w:pPr>
      <w:bookmarkStart w:id="9" w:name="_Toc24262"/>
      <w:bookmarkStart w:id="10" w:name="_Toc22201059"/>
      <w:r>
        <w:rPr>
          <w:rFonts w:hint="eastAsia" w:ascii="黑体" w:hAnsi="黑体" w:eastAsia="黑体"/>
        </w:rPr>
        <w:t>五、提交首次响应文件的截止时间、谈判时间及地点</w:t>
      </w:r>
      <w:bookmarkEnd w:id="9"/>
      <w:bookmarkEnd w:id="10"/>
    </w:p>
    <w:p>
      <w:pPr>
        <w:adjustRightInd w:val="0"/>
        <w:snapToGrid w:val="0"/>
        <w:spacing w:beforeLines="50" w:line="360" w:lineRule="auto"/>
        <w:ind w:firstLine="420" w:firstLineChars="200"/>
        <w:rPr>
          <w:rFonts w:ascii="宋体" w:hAnsi="宋体"/>
          <w:szCs w:val="21"/>
        </w:rPr>
      </w:pPr>
      <w:r>
        <w:rPr>
          <w:rFonts w:hint="eastAsia" w:ascii="宋体" w:hAnsi="宋体"/>
          <w:szCs w:val="21"/>
        </w:rPr>
        <w:t>1、提交首次响应文件的截止时间（谈判时间）：2020 年 11月 26日11时30分（北京时间）</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2、谈判地点：湖南中泉项目管理有限公司（长沙市天心区湘府中路369号星城荣域园C栋8楼）。</w:t>
      </w:r>
    </w:p>
    <w:p>
      <w:pPr>
        <w:pStyle w:val="6"/>
        <w:adjustRightInd w:val="0"/>
        <w:snapToGrid w:val="0"/>
        <w:spacing w:beforeLines="50"/>
        <w:rPr>
          <w:rFonts w:ascii="黑体" w:hAnsi="黑体" w:eastAsia="黑体"/>
        </w:rPr>
      </w:pPr>
      <w:bookmarkStart w:id="11" w:name="_Toc23613"/>
      <w:bookmarkStart w:id="12" w:name="_Toc22201060"/>
      <w:r>
        <w:rPr>
          <w:rFonts w:hint="eastAsia" w:ascii="黑体" w:hAnsi="黑体" w:eastAsia="黑体"/>
        </w:rPr>
        <w:t>六、确认</w:t>
      </w:r>
      <w:bookmarkEnd w:id="11"/>
      <w:bookmarkEnd w:id="12"/>
    </w:p>
    <w:p>
      <w:pPr>
        <w:adjustRightInd w:val="0"/>
        <w:snapToGrid w:val="0"/>
        <w:spacing w:beforeLines="50" w:line="360" w:lineRule="auto"/>
        <w:ind w:firstLine="420" w:firstLineChars="200"/>
        <w:rPr>
          <w:rFonts w:ascii="宋体" w:hAnsi="宋体"/>
          <w:szCs w:val="21"/>
        </w:rPr>
      </w:pPr>
      <w:r>
        <w:rPr>
          <w:rFonts w:hint="eastAsia" w:ascii="宋体" w:hAnsi="宋体"/>
          <w:szCs w:val="21"/>
        </w:rPr>
        <w:t>你单位收到本采购邀请后，请于2020年11月25日17 时前，以书面形式或电子邮件确认是否参加谈判采购。</w:t>
      </w:r>
    </w:p>
    <w:p>
      <w:pPr>
        <w:pStyle w:val="6"/>
        <w:adjustRightInd w:val="0"/>
        <w:snapToGrid w:val="0"/>
        <w:spacing w:beforeLines="50"/>
        <w:rPr>
          <w:rFonts w:ascii="黑体" w:hAnsi="黑体" w:eastAsia="黑体"/>
        </w:rPr>
      </w:pPr>
      <w:bookmarkStart w:id="13" w:name="_Toc29957"/>
      <w:bookmarkStart w:id="14" w:name="_Toc22201061"/>
      <w:r>
        <w:rPr>
          <w:rFonts w:hint="eastAsia" w:ascii="黑体" w:hAnsi="黑体" w:eastAsia="黑体"/>
        </w:rPr>
        <w:t>七、询问及质疑</w:t>
      </w:r>
      <w:bookmarkEnd w:id="13"/>
      <w:bookmarkEnd w:id="14"/>
    </w:p>
    <w:p>
      <w:pPr>
        <w:adjustRightInd w:val="0"/>
        <w:snapToGrid w:val="0"/>
        <w:spacing w:beforeLines="50" w:line="360" w:lineRule="auto"/>
        <w:ind w:firstLine="420" w:firstLineChars="200"/>
        <w:rPr>
          <w:rFonts w:ascii="宋体" w:hAnsi="宋体"/>
          <w:szCs w:val="21"/>
        </w:rPr>
      </w:pPr>
      <w:r>
        <w:rPr>
          <w:rFonts w:hint="eastAsia" w:ascii="宋体" w:hAnsi="宋体"/>
          <w:szCs w:val="21"/>
        </w:rPr>
        <w:t>1、供应商对政府采购活动事项如有疑问的，可以向采购人、采购代理机构提出询问。采购人、采购代理机构将在3个工作日内作出答复。</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供应商认为谈判文件使自己的合法权益受到损害的，可以在收到谈判文件之日起7个工作日内，按《湖南省财政厅关于印发＜政府采购质疑答复和投诉处理操作规程＞的通知》(湘财购〔2019〕20号)规定，以书面形式一次性向采购人、采购代理机构针对同一采购程序环节提出质疑。</w:t>
      </w:r>
    </w:p>
    <w:p>
      <w:pPr>
        <w:pStyle w:val="6"/>
        <w:adjustRightInd w:val="0"/>
        <w:snapToGrid w:val="0"/>
        <w:spacing w:beforeLines="50"/>
        <w:rPr>
          <w:rFonts w:ascii="黑体" w:hAnsi="黑体" w:eastAsia="黑体"/>
        </w:rPr>
      </w:pPr>
      <w:bookmarkStart w:id="15" w:name="_Toc22201062"/>
      <w:bookmarkStart w:id="16" w:name="_Toc4052"/>
      <w:r>
        <w:rPr>
          <w:rFonts w:hint="eastAsia" w:ascii="黑体" w:hAnsi="黑体" w:eastAsia="黑体"/>
        </w:rPr>
        <w:t>八、</w:t>
      </w:r>
      <w:bookmarkEnd w:id="15"/>
      <w:bookmarkStart w:id="17" w:name="_Toc22201063"/>
      <w:r>
        <w:rPr>
          <w:rFonts w:hint="eastAsia" w:ascii="黑体" w:hAnsi="黑体" w:eastAsia="黑体"/>
        </w:rPr>
        <w:t>采购人及其委托的采购代理机构的名称、地址和联系方法</w:t>
      </w:r>
      <w:bookmarkEnd w:id="16"/>
      <w:bookmarkEnd w:id="17"/>
    </w:p>
    <w:p>
      <w:pPr>
        <w:adjustRightInd w:val="0"/>
        <w:snapToGrid w:val="0"/>
        <w:spacing w:beforeLines="50" w:line="360" w:lineRule="auto"/>
        <w:ind w:firstLine="413" w:firstLineChars="196"/>
        <w:rPr>
          <w:rFonts w:ascii="宋体" w:hAnsi="宋体"/>
          <w:b/>
          <w:bCs/>
          <w:szCs w:val="21"/>
        </w:rPr>
      </w:pPr>
      <w:r>
        <w:rPr>
          <w:rFonts w:hint="eastAsia" w:ascii="宋体" w:hAnsi="宋体"/>
          <w:b/>
          <w:bCs/>
          <w:szCs w:val="21"/>
        </w:rPr>
        <w:t>1</w:t>
      </w:r>
      <w:r>
        <w:rPr>
          <w:rFonts w:hint="eastAsia" w:ascii="宋体" w:hAnsi="宋体"/>
          <w:szCs w:val="21"/>
        </w:rPr>
        <w:t>、</w:t>
      </w:r>
      <w:r>
        <w:rPr>
          <w:rFonts w:hint="eastAsia" w:ascii="宋体" w:hAnsi="宋体"/>
          <w:b/>
          <w:bCs/>
          <w:szCs w:val="21"/>
        </w:rPr>
        <w:t>采购人信息</w:t>
      </w:r>
    </w:p>
    <w:p>
      <w:pPr>
        <w:adjustRightInd w:val="0"/>
        <w:snapToGrid w:val="0"/>
        <w:spacing w:beforeLines="50" w:line="360" w:lineRule="auto"/>
        <w:ind w:firstLine="411" w:firstLineChars="196"/>
        <w:rPr>
          <w:rFonts w:ascii="宋体" w:hAnsi="宋体"/>
          <w:b/>
          <w:bCs/>
          <w:szCs w:val="21"/>
        </w:rPr>
      </w:pPr>
      <w:r>
        <w:rPr>
          <w:rFonts w:hint="eastAsia" w:ascii="宋体" w:hAnsi="宋体"/>
          <w:szCs w:val="21"/>
        </w:rPr>
        <w:t>（1）</w:t>
      </w:r>
      <w:r>
        <w:rPr>
          <w:rFonts w:hint="eastAsia"/>
        </w:rPr>
        <w:t>名 称：湖南省水利厅</w:t>
      </w:r>
    </w:p>
    <w:p>
      <w:pPr>
        <w:adjustRightInd w:val="0"/>
        <w:snapToGrid w:val="0"/>
        <w:spacing w:beforeLines="50" w:line="360" w:lineRule="auto"/>
        <w:ind w:firstLine="411" w:firstLineChars="196"/>
      </w:pPr>
      <w:r>
        <w:rPr>
          <w:rFonts w:hint="eastAsia" w:ascii="宋体" w:hAnsi="宋体"/>
          <w:szCs w:val="21"/>
        </w:rPr>
        <w:t>（2）地  址：</w:t>
      </w:r>
      <w:r>
        <w:t>湖南省长沙市雨花区韶山北路370号</w:t>
      </w:r>
    </w:p>
    <w:p>
      <w:pPr>
        <w:adjustRightInd w:val="0"/>
        <w:snapToGrid w:val="0"/>
        <w:spacing w:beforeLines="50" w:line="360" w:lineRule="auto"/>
        <w:ind w:firstLine="420" w:firstLineChars="200"/>
        <w:rPr>
          <w:rFonts w:ascii="宋体" w:hAnsi="宋体"/>
          <w:bCs/>
          <w:szCs w:val="21"/>
        </w:rPr>
      </w:pPr>
      <w:r>
        <w:rPr>
          <w:rFonts w:hint="eastAsia" w:ascii="宋体" w:hAnsi="宋体"/>
          <w:szCs w:val="21"/>
        </w:rPr>
        <w:t>（3）</w:t>
      </w:r>
      <w:r>
        <w:rPr>
          <w:rFonts w:hint="eastAsia" w:ascii="宋体" w:hAnsi="宋体"/>
          <w:bCs/>
          <w:szCs w:val="21"/>
        </w:rPr>
        <w:t>联系人：</w:t>
      </w:r>
      <w:r>
        <w:rPr>
          <w:rFonts w:hint="eastAsia" w:ascii="宋体" w:hAnsi="宋体"/>
          <w:szCs w:val="21"/>
        </w:rPr>
        <w:t>李高峰</w:t>
      </w:r>
    </w:p>
    <w:p>
      <w:pPr>
        <w:spacing w:beforeLines="50" w:line="360" w:lineRule="auto"/>
        <w:ind w:firstLine="411" w:firstLineChars="196"/>
      </w:pPr>
      <w:r>
        <w:rPr>
          <w:rFonts w:hint="eastAsia"/>
        </w:rPr>
        <w:t>（4）电 话：0731-</w:t>
      </w:r>
      <w:r>
        <w:t>858954</w:t>
      </w:r>
      <w:r>
        <w:rPr>
          <w:rFonts w:hint="eastAsia"/>
        </w:rPr>
        <w:t>36</w:t>
      </w:r>
    </w:p>
    <w:p>
      <w:pPr>
        <w:adjustRightInd w:val="0"/>
        <w:snapToGrid w:val="0"/>
        <w:spacing w:beforeLines="50" w:line="360" w:lineRule="auto"/>
        <w:ind w:firstLine="413" w:firstLineChars="196"/>
        <w:rPr>
          <w:rFonts w:ascii="宋体" w:hAnsi="宋体"/>
          <w:b/>
          <w:bCs/>
          <w:szCs w:val="21"/>
        </w:rPr>
      </w:pPr>
      <w:r>
        <w:rPr>
          <w:rFonts w:hint="eastAsia" w:ascii="宋体" w:hAnsi="宋体"/>
          <w:b/>
          <w:bCs/>
          <w:szCs w:val="21"/>
        </w:rPr>
        <w:t>2</w:t>
      </w:r>
      <w:r>
        <w:rPr>
          <w:rFonts w:hint="eastAsia" w:ascii="宋体" w:hAnsi="宋体"/>
          <w:szCs w:val="21"/>
        </w:rPr>
        <w:t>、</w:t>
      </w:r>
      <w:r>
        <w:rPr>
          <w:rFonts w:hint="eastAsia" w:ascii="宋体" w:hAnsi="宋体"/>
          <w:b/>
          <w:bCs/>
          <w:szCs w:val="21"/>
        </w:rPr>
        <w:t>采购代理机构信息</w:t>
      </w:r>
    </w:p>
    <w:p>
      <w:pPr>
        <w:adjustRightInd w:val="0"/>
        <w:snapToGrid w:val="0"/>
        <w:spacing w:beforeLines="50" w:line="360" w:lineRule="auto"/>
        <w:ind w:firstLine="411" w:firstLineChars="196"/>
        <w:rPr>
          <w:rFonts w:ascii="宋体" w:hAnsi="宋体"/>
          <w:szCs w:val="21"/>
        </w:rPr>
      </w:pPr>
      <w:r>
        <w:rPr>
          <w:rFonts w:hint="eastAsia" w:ascii="宋体" w:hAnsi="宋体"/>
          <w:szCs w:val="21"/>
        </w:rPr>
        <w:t>（1）</w:t>
      </w:r>
      <w:r>
        <w:rPr>
          <w:rFonts w:hint="eastAsia" w:ascii="宋体" w:hAnsi="宋体"/>
          <w:bCs/>
          <w:szCs w:val="21"/>
        </w:rPr>
        <w:t>名  称：</w:t>
      </w:r>
      <w:r>
        <w:rPr>
          <w:rFonts w:hint="eastAsia" w:ascii="宋体" w:hAnsi="宋体"/>
          <w:szCs w:val="21"/>
        </w:rPr>
        <w:t>湖南中泉项目管理有限公司</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（2）地  址：长沙市天心区芙蓉南路星城荣域C座8楼</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（3）联系人：冉光玲、潘红</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（4）电  话：</w:t>
      </w:r>
      <w:r>
        <w:rPr>
          <w:rFonts w:ascii="宋体" w:hAnsi="宋体"/>
          <w:szCs w:val="21"/>
        </w:rPr>
        <w:t>0731-</w:t>
      </w:r>
      <w:r>
        <w:rPr>
          <w:rFonts w:hint="eastAsia" w:ascii="宋体" w:hAnsi="宋体"/>
          <w:szCs w:val="21"/>
        </w:rPr>
        <w:t>82231118</w:t>
      </w:r>
    </w:p>
    <w:p>
      <w:pPr>
        <w:adjustRightInd w:val="0"/>
        <w:snapToGrid w:val="0"/>
        <w:spacing w:beforeLines="50" w:line="360" w:lineRule="auto"/>
        <w:ind w:firstLine="420" w:firstLineChars="200"/>
        <w:rPr>
          <w:szCs w:val="21"/>
        </w:rPr>
      </w:pPr>
      <w:r>
        <w:rPr>
          <w:rFonts w:hint="eastAsia" w:ascii="宋体" w:hAnsi="宋体"/>
          <w:szCs w:val="21"/>
        </w:rPr>
        <w:t>（5）</w:t>
      </w:r>
      <w:r>
        <w:rPr>
          <w:rFonts w:hint="eastAsia"/>
          <w:szCs w:val="21"/>
        </w:rPr>
        <w:t>电子邮箱：</w:t>
      </w:r>
      <w:r>
        <w:rPr>
          <w:rFonts w:asciiTheme="minorEastAsia" w:hAnsiTheme="minorEastAsia" w:eastAsiaTheme="minorEastAsia"/>
          <w:szCs w:val="21"/>
        </w:rPr>
        <w:t>hnzq2020@126.com</w:t>
      </w:r>
    </w:p>
    <w:p>
      <w:pPr>
        <w:pStyle w:val="6"/>
        <w:adjustRightInd w:val="0"/>
        <w:snapToGrid w:val="0"/>
        <w:spacing w:beforeLines="50"/>
        <w:rPr>
          <w:rFonts w:ascii="黑体" w:hAnsi="黑体" w:eastAsia="黑体"/>
          <w:sz w:val="28"/>
          <w:szCs w:val="28"/>
        </w:rPr>
      </w:pPr>
      <w:bookmarkStart w:id="18" w:name="_Toc22201064"/>
      <w:bookmarkStart w:id="19" w:name="_Toc1512"/>
      <w:r>
        <w:rPr>
          <w:rFonts w:hint="eastAsia" w:ascii="黑体" w:hAnsi="黑体" w:eastAsia="黑体"/>
        </w:rPr>
        <w:t>九、其它补充事宜</w:t>
      </w:r>
      <w:bookmarkEnd w:id="18"/>
      <w:bookmarkEnd w:id="19"/>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（1）</w:t>
      </w:r>
      <w:r>
        <w:rPr>
          <w:rFonts w:hint="eastAsia" w:ascii="宋体" w:hAnsi="宋体"/>
          <w:b/>
          <w:szCs w:val="21"/>
        </w:rPr>
        <w:t>保证金</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开户名称：湖南中泉项目管理有限公司</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开 户 行：810000186662000001</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银行账号：长沙银行股份有限公司天心支行</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到账截止时间：  2020 年 11月 26日11时30分（北京时间）</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（请在用途栏中注明“</w:t>
      </w:r>
      <w:r>
        <w:rPr>
          <w:rFonts w:ascii="宋体" w:hAnsi="宋体"/>
          <w:szCs w:val="21"/>
        </w:rPr>
        <w:t>项目</w:t>
      </w:r>
      <w:r>
        <w:rPr>
          <w:rFonts w:hint="eastAsia" w:ascii="宋体" w:hAnsi="宋体"/>
          <w:szCs w:val="21"/>
        </w:rPr>
        <w:t>”字样）</w:t>
      </w:r>
    </w:p>
    <w:p>
      <w:pPr>
        <w:adjustRightInd w:val="0"/>
        <w:snapToGrid w:val="0"/>
        <w:spacing w:beforeLines="50" w:line="360" w:lineRule="auto"/>
        <w:ind w:firstLine="420" w:firstLineChars="200"/>
        <w:jc w:val="left"/>
        <w:rPr>
          <w:rFonts w:ascii="宋体" w:hAnsi="宋体"/>
          <w:b/>
          <w:szCs w:val="21"/>
        </w:rPr>
      </w:pPr>
      <w:r>
        <w:rPr>
          <w:rFonts w:hint="eastAsia" w:ascii="宋体" w:hAnsi="宋体"/>
          <w:szCs w:val="21"/>
        </w:rPr>
        <w:t>（2）</w:t>
      </w:r>
      <w:r>
        <w:rPr>
          <w:rFonts w:hint="eastAsia" w:ascii="宋体" w:hAnsi="宋体"/>
          <w:b/>
          <w:szCs w:val="21"/>
        </w:rPr>
        <w:t>购买谈判文件款、采购代理服务费</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开户名称:湖南中泉项目管理有限公司</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开 户 行：中国农业银行股份有限公司长沙湘府路支行</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银行账号：18067201040002911</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财务部联系人：潘 红</w:t>
      </w:r>
    </w:p>
    <w:p>
      <w:pPr>
        <w:adjustRightInd w:val="0"/>
        <w:snapToGrid w:val="0"/>
        <w:spacing w:beforeLines="50" w:line="360" w:lineRule="auto"/>
        <w:ind w:firstLine="420" w:firstLineChars="200"/>
        <w:jc w:val="left"/>
        <w:rPr>
          <w:rFonts w:ascii="宋体" w:hAnsi="宋体"/>
          <w:szCs w:val="21"/>
        </w:rPr>
      </w:pPr>
      <w:r>
        <w:rPr>
          <w:rFonts w:hint="eastAsia" w:ascii="宋体" w:hAnsi="宋体"/>
          <w:szCs w:val="21"/>
        </w:rPr>
        <w:t>财务电话： 0731-</w:t>
      </w:r>
      <w:r>
        <w:rPr>
          <w:rFonts w:ascii="宋体" w:hAnsi="宋体"/>
          <w:szCs w:val="21"/>
        </w:rPr>
        <w:t>82238174</w:t>
      </w:r>
    </w:p>
    <w:p>
      <w:pPr>
        <w:pStyle w:val="7"/>
        <w:adjustRightInd w:val="0"/>
        <w:snapToGrid w:val="0"/>
        <w:spacing w:before="0" w:after="0" w:line="360" w:lineRule="auto"/>
        <w:rPr>
          <w:rFonts w:ascii="宋体" w:hAnsi="宋体"/>
          <w:sz w:val="21"/>
          <w:szCs w:val="21"/>
        </w:rPr>
      </w:pPr>
      <w:bookmarkStart w:id="20" w:name="_Toc22201065"/>
      <w:r>
        <w:rPr>
          <w:rFonts w:ascii="黑体" w:hAnsi="黑体" w:eastAsia="黑体"/>
          <w:b w:val="0"/>
          <w:sz w:val="21"/>
          <w:szCs w:val="21"/>
        </w:rPr>
        <w:br w:type="page"/>
      </w:r>
      <w:bookmarkStart w:id="21" w:name="_Toc11862"/>
      <w:r>
        <w:rPr>
          <w:rFonts w:hint="eastAsia" w:ascii="宋体" w:hAnsi="宋体"/>
          <w:sz w:val="21"/>
          <w:szCs w:val="21"/>
        </w:rPr>
        <w:t>附件：</w:t>
      </w:r>
      <w:r>
        <w:rPr>
          <w:rFonts w:hint="eastAsia" w:ascii="宋体" w:hAnsi="宋体"/>
          <w:spacing w:val="-3"/>
          <w:sz w:val="21"/>
          <w:szCs w:val="21"/>
        </w:rPr>
        <w:t>确</w:t>
      </w:r>
      <w:r>
        <w:rPr>
          <w:rFonts w:hint="eastAsia" w:ascii="宋体" w:hAnsi="宋体"/>
          <w:sz w:val="21"/>
          <w:szCs w:val="21"/>
        </w:rPr>
        <w:t>认通知</w:t>
      </w:r>
      <w:bookmarkEnd w:id="20"/>
      <w:bookmarkEnd w:id="21"/>
    </w:p>
    <w:p>
      <w:pPr>
        <w:autoSpaceDE w:val="0"/>
        <w:autoSpaceDN w:val="0"/>
        <w:adjustRightInd w:val="0"/>
        <w:snapToGrid w:val="0"/>
        <w:spacing w:beforeLines="50" w:line="360" w:lineRule="auto"/>
        <w:ind w:right="3816"/>
        <w:jc w:val="center"/>
        <w:rPr>
          <w:rFonts w:ascii="黑体" w:hAnsi="黑体" w:eastAsia="黑体" w:cs="微软雅黑"/>
          <w:b/>
          <w:kern w:val="0"/>
          <w:sz w:val="28"/>
          <w:szCs w:val="28"/>
        </w:rPr>
      </w:pPr>
      <w:r>
        <w:rPr>
          <w:rFonts w:hint="eastAsia" w:ascii="黑体" w:hAnsi="黑体" w:eastAsia="黑体" w:cs="微软雅黑"/>
          <w:b/>
          <w:kern w:val="0"/>
          <w:position w:val="-3"/>
          <w:sz w:val="28"/>
          <w:szCs w:val="28"/>
        </w:rPr>
        <w:t xml:space="preserve">                           确认通知</w:t>
      </w:r>
    </w:p>
    <w:p>
      <w:pPr>
        <w:tabs>
          <w:tab w:val="left" w:pos="1980"/>
        </w:tabs>
        <w:autoSpaceDE w:val="0"/>
        <w:autoSpaceDN w:val="0"/>
        <w:adjustRightInd w:val="0"/>
        <w:snapToGrid w:val="0"/>
        <w:spacing w:beforeLines="50" w:line="360" w:lineRule="auto"/>
        <w:ind w:right="-20"/>
        <w:jc w:val="left"/>
        <w:rPr>
          <w:rFonts w:ascii="宋体" w:hAnsi="宋体" w:cs="微软雅黑"/>
          <w:spacing w:val="-108"/>
          <w:kern w:val="0"/>
          <w:position w:val="-2"/>
          <w:szCs w:val="21"/>
        </w:rPr>
      </w:pPr>
      <w:r>
        <w:rPr>
          <w:rFonts w:hint="eastAsia" w:ascii="宋体" w:hAnsi="宋体" w:cs="微软雅黑"/>
          <w:kern w:val="0"/>
          <w:position w:val="-2"/>
          <w:szCs w:val="21"/>
        </w:rPr>
        <w:t>（采购人、采购代理机构</w:t>
      </w:r>
      <w:r>
        <w:rPr>
          <w:rFonts w:hint="eastAsia" w:ascii="宋体" w:hAnsi="宋体" w:cs="微软雅黑"/>
          <w:spacing w:val="-2"/>
          <w:kern w:val="0"/>
          <w:szCs w:val="21"/>
        </w:rPr>
        <w:t>）：</w:t>
      </w:r>
    </w:p>
    <w:p>
      <w:pPr>
        <w:tabs>
          <w:tab w:val="left" w:pos="1980"/>
        </w:tabs>
        <w:autoSpaceDE w:val="0"/>
        <w:autoSpaceDN w:val="0"/>
        <w:adjustRightInd w:val="0"/>
        <w:snapToGrid w:val="0"/>
        <w:spacing w:beforeLines="50" w:line="360" w:lineRule="auto"/>
        <w:ind w:right="-23" w:firstLine="420" w:firstLineChars="200"/>
        <w:jc w:val="left"/>
        <w:rPr>
          <w:rFonts w:ascii="宋体" w:hAnsi="宋体" w:cs="微软雅黑"/>
          <w:kern w:val="0"/>
          <w:szCs w:val="21"/>
        </w:rPr>
      </w:pPr>
      <w:r>
        <w:rPr>
          <w:rFonts w:hint="eastAsia" w:ascii="宋体" w:hAnsi="宋体" w:cs="微软雅黑"/>
          <w:kern w:val="0"/>
          <w:position w:val="-2"/>
          <w:szCs w:val="21"/>
        </w:rPr>
        <w:t>我单位</w:t>
      </w:r>
      <w:r>
        <w:rPr>
          <w:rFonts w:hint="eastAsia" w:ascii="宋体" w:hAnsi="宋体" w:cs="微软雅黑"/>
          <w:spacing w:val="-2"/>
          <w:kern w:val="0"/>
          <w:position w:val="-2"/>
          <w:szCs w:val="21"/>
        </w:rPr>
        <w:t>已</w:t>
      </w:r>
      <w:r>
        <w:rPr>
          <w:rFonts w:hint="eastAsia" w:ascii="宋体" w:hAnsi="宋体" w:cs="微软雅黑"/>
          <w:kern w:val="0"/>
          <w:position w:val="-2"/>
          <w:szCs w:val="21"/>
        </w:rPr>
        <w:t>于</w:t>
      </w:r>
      <w:r>
        <w:rPr>
          <w:rFonts w:hint="eastAsia" w:ascii="宋体" w:hAnsi="宋体" w:cs="微软雅黑"/>
          <w:spacing w:val="1"/>
          <w:kern w:val="0"/>
          <w:position w:val="-2"/>
          <w:szCs w:val="21"/>
        </w:rPr>
        <w:t>年</w:t>
      </w:r>
      <w:r>
        <w:rPr>
          <w:rFonts w:hint="eastAsia" w:ascii="宋体" w:hAnsi="宋体" w:cs="微软雅黑"/>
          <w:kern w:val="0"/>
          <w:position w:val="-2"/>
          <w:szCs w:val="21"/>
        </w:rPr>
        <w:t>月</w:t>
      </w:r>
      <w:r>
        <w:rPr>
          <w:rFonts w:hint="eastAsia" w:ascii="宋体" w:hAnsi="宋体" w:cs="微软雅黑"/>
          <w:spacing w:val="-2"/>
          <w:kern w:val="0"/>
          <w:position w:val="-2"/>
          <w:szCs w:val="21"/>
        </w:rPr>
        <w:t>日</w:t>
      </w:r>
      <w:r>
        <w:rPr>
          <w:rFonts w:hint="eastAsia" w:ascii="宋体" w:hAnsi="宋体" w:cs="微软雅黑"/>
          <w:kern w:val="0"/>
          <w:position w:val="-2"/>
          <w:szCs w:val="21"/>
        </w:rPr>
        <w:t>收</w:t>
      </w:r>
      <w:r>
        <w:rPr>
          <w:rFonts w:hint="eastAsia" w:ascii="宋体" w:hAnsi="宋体" w:cs="微软雅黑"/>
          <w:spacing w:val="-2"/>
          <w:kern w:val="0"/>
          <w:position w:val="-2"/>
          <w:szCs w:val="21"/>
        </w:rPr>
        <w:t>到</w:t>
      </w:r>
      <w:r>
        <w:rPr>
          <w:rFonts w:hint="eastAsia" w:ascii="宋体" w:hAnsi="宋体" w:cs="微软雅黑"/>
          <w:kern w:val="0"/>
          <w:position w:val="-2"/>
          <w:szCs w:val="21"/>
        </w:rPr>
        <w:t>你单位年</w:t>
      </w:r>
      <w:r>
        <w:rPr>
          <w:rFonts w:hint="eastAsia" w:ascii="宋体" w:hAnsi="宋体" w:cs="微软雅黑"/>
          <w:spacing w:val="1"/>
          <w:kern w:val="0"/>
          <w:position w:val="-2"/>
          <w:szCs w:val="21"/>
        </w:rPr>
        <w:t>月</w:t>
      </w:r>
      <w:r>
        <w:rPr>
          <w:rFonts w:hint="eastAsia" w:ascii="宋体" w:hAnsi="宋体" w:cs="微软雅黑"/>
          <w:kern w:val="0"/>
          <w:position w:val="-2"/>
          <w:szCs w:val="21"/>
        </w:rPr>
        <w:t>日发</w:t>
      </w:r>
      <w:r>
        <w:rPr>
          <w:rFonts w:hint="eastAsia" w:ascii="宋体" w:hAnsi="宋体" w:cs="微软雅黑"/>
          <w:spacing w:val="-2"/>
          <w:kern w:val="0"/>
          <w:position w:val="-2"/>
          <w:szCs w:val="21"/>
        </w:rPr>
        <w:t>出</w:t>
      </w:r>
      <w:r>
        <w:rPr>
          <w:rFonts w:hint="eastAsia" w:ascii="宋体" w:hAnsi="宋体" w:cs="微软雅黑"/>
          <w:kern w:val="0"/>
          <w:position w:val="-2"/>
          <w:szCs w:val="21"/>
        </w:rPr>
        <w:t>的</w:t>
      </w:r>
      <w:r>
        <w:rPr>
          <w:rFonts w:hint="eastAsia" w:ascii="宋体" w:hAnsi="宋体" w:cs="微软雅黑"/>
          <w:spacing w:val="-2"/>
          <w:kern w:val="0"/>
          <w:position w:val="-2"/>
          <w:szCs w:val="21"/>
        </w:rPr>
        <w:t>（</w:t>
      </w:r>
      <w:r>
        <w:rPr>
          <w:rFonts w:hint="eastAsia" w:ascii="宋体" w:hAnsi="宋体" w:cs="微软雅黑"/>
          <w:kern w:val="0"/>
          <w:position w:val="-2"/>
          <w:szCs w:val="21"/>
        </w:rPr>
        <w:t>项</w:t>
      </w:r>
      <w:r>
        <w:rPr>
          <w:rFonts w:hint="eastAsia" w:ascii="宋体" w:hAnsi="宋体" w:cs="微软雅黑"/>
          <w:spacing w:val="-2"/>
          <w:kern w:val="0"/>
          <w:position w:val="-2"/>
          <w:szCs w:val="21"/>
        </w:rPr>
        <w:t>目</w:t>
      </w:r>
      <w:r>
        <w:rPr>
          <w:rFonts w:hint="eastAsia" w:ascii="宋体" w:hAnsi="宋体" w:cs="微软雅黑"/>
          <w:kern w:val="0"/>
          <w:position w:val="-2"/>
          <w:szCs w:val="21"/>
        </w:rPr>
        <w:t>名称</w:t>
      </w:r>
      <w:r>
        <w:rPr>
          <w:rFonts w:hint="eastAsia" w:ascii="宋体" w:hAnsi="宋体" w:cs="微软雅黑"/>
          <w:spacing w:val="-22"/>
          <w:kern w:val="0"/>
          <w:position w:val="-2"/>
          <w:szCs w:val="21"/>
        </w:rPr>
        <w:t>）</w:t>
      </w:r>
      <w:r>
        <w:rPr>
          <w:rFonts w:hint="eastAsia" w:ascii="宋体" w:hAnsi="宋体" w:cs="微软雅黑"/>
          <w:kern w:val="0"/>
          <w:position w:val="-2"/>
          <w:szCs w:val="21"/>
        </w:rPr>
        <w:t>谈判邀</w:t>
      </w:r>
      <w:r>
        <w:rPr>
          <w:rFonts w:hint="eastAsia" w:ascii="宋体" w:hAnsi="宋体" w:cs="微软雅黑"/>
          <w:spacing w:val="-2"/>
          <w:kern w:val="0"/>
          <w:position w:val="-2"/>
          <w:szCs w:val="21"/>
        </w:rPr>
        <w:t>请</w:t>
      </w:r>
      <w:r>
        <w:rPr>
          <w:rFonts w:hint="eastAsia" w:ascii="宋体" w:hAnsi="宋体" w:cs="微软雅黑"/>
          <w:spacing w:val="-22"/>
          <w:kern w:val="0"/>
          <w:position w:val="-2"/>
          <w:szCs w:val="21"/>
        </w:rPr>
        <w:t>，</w:t>
      </w:r>
      <w:r>
        <w:rPr>
          <w:rFonts w:hint="eastAsia" w:ascii="宋体" w:hAnsi="宋体" w:cs="微软雅黑"/>
          <w:spacing w:val="-2"/>
          <w:kern w:val="0"/>
          <w:position w:val="-2"/>
          <w:szCs w:val="21"/>
        </w:rPr>
        <w:t>确</w:t>
      </w:r>
      <w:r>
        <w:rPr>
          <w:rFonts w:hint="eastAsia" w:ascii="宋体" w:hAnsi="宋体" w:cs="微软雅黑"/>
          <w:kern w:val="0"/>
          <w:position w:val="-2"/>
          <w:szCs w:val="21"/>
        </w:rPr>
        <w:t>认</w:t>
      </w:r>
      <w:r>
        <w:rPr>
          <w:rFonts w:hint="eastAsia" w:ascii="宋体" w:hAnsi="宋体" w:cs="微软雅黑"/>
          <w:spacing w:val="-2"/>
          <w:kern w:val="0"/>
          <w:position w:val="-2"/>
          <w:szCs w:val="21"/>
        </w:rPr>
        <w:t>（参</w:t>
      </w:r>
      <w:r>
        <w:rPr>
          <w:rFonts w:hint="eastAsia" w:ascii="宋体" w:hAnsi="宋体" w:cs="微软雅黑"/>
          <w:kern w:val="0"/>
          <w:szCs w:val="21"/>
        </w:rPr>
        <w:t>加</w:t>
      </w:r>
      <w:r>
        <w:rPr>
          <w:rFonts w:ascii="宋体" w:hAnsi="宋体"/>
          <w:spacing w:val="-1"/>
          <w:kern w:val="0"/>
          <w:szCs w:val="21"/>
        </w:rPr>
        <w:t>/</w:t>
      </w:r>
      <w:r>
        <w:rPr>
          <w:rFonts w:hint="eastAsia" w:ascii="宋体" w:hAnsi="宋体" w:cs="微软雅黑"/>
          <w:kern w:val="0"/>
          <w:szCs w:val="21"/>
        </w:rPr>
        <w:t>不</w:t>
      </w:r>
      <w:r>
        <w:rPr>
          <w:rFonts w:hint="eastAsia" w:ascii="宋体" w:hAnsi="宋体" w:cs="微软雅黑"/>
          <w:spacing w:val="-2"/>
          <w:kern w:val="0"/>
          <w:szCs w:val="21"/>
        </w:rPr>
        <w:t>参</w:t>
      </w:r>
      <w:r>
        <w:rPr>
          <w:rFonts w:hint="eastAsia" w:ascii="宋体" w:hAnsi="宋体" w:cs="微软雅黑"/>
          <w:kern w:val="0"/>
          <w:szCs w:val="21"/>
        </w:rPr>
        <w:t>加</w:t>
      </w:r>
      <w:r>
        <w:rPr>
          <w:rFonts w:hint="eastAsia" w:ascii="宋体" w:hAnsi="宋体" w:cs="微软雅黑"/>
          <w:spacing w:val="-2"/>
          <w:kern w:val="0"/>
          <w:szCs w:val="21"/>
        </w:rPr>
        <w:t>）</w:t>
      </w:r>
      <w:r>
        <w:rPr>
          <w:rFonts w:hint="eastAsia" w:ascii="宋体" w:hAnsi="宋体" w:cs="微软雅黑"/>
          <w:kern w:val="0"/>
          <w:szCs w:val="21"/>
        </w:rPr>
        <w:t>谈判采购。</w:t>
      </w:r>
    </w:p>
    <w:p>
      <w:pPr>
        <w:autoSpaceDE w:val="0"/>
        <w:autoSpaceDN w:val="0"/>
        <w:adjustRightInd w:val="0"/>
        <w:snapToGrid w:val="0"/>
        <w:spacing w:beforeLines="50" w:line="360" w:lineRule="auto"/>
        <w:ind w:left="487" w:right="7230"/>
        <w:jc w:val="center"/>
        <w:rPr>
          <w:rFonts w:ascii="宋体" w:hAnsi="宋体" w:cs="微软雅黑"/>
          <w:kern w:val="0"/>
          <w:szCs w:val="21"/>
        </w:rPr>
      </w:pPr>
      <w:r>
        <w:rPr>
          <w:rFonts w:hint="eastAsia" w:ascii="宋体" w:hAnsi="宋体" w:cs="微软雅黑"/>
          <w:spacing w:val="-2"/>
          <w:kern w:val="0"/>
          <w:position w:val="-4"/>
          <w:szCs w:val="21"/>
        </w:rPr>
        <w:t>特</w:t>
      </w:r>
      <w:r>
        <w:rPr>
          <w:rFonts w:hint="eastAsia" w:ascii="宋体" w:hAnsi="宋体" w:cs="微软雅黑"/>
          <w:kern w:val="0"/>
          <w:position w:val="-4"/>
          <w:szCs w:val="21"/>
        </w:rPr>
        <w:t>此</w:t>
      </w:r>
      <w:r>
        <w:rPr>
          <w:rFonts w:hint="eastAsia" w:ascii="宋体" w:hAnsi="宋体" w:cs="微软雅黑"/>
          <w:spacing w:val="-2"/>
          <w:kern w:val="0"/>
          <w:position w:val="-4"/>
          <w:szCs w:val="21"/>
        </w:rPr>
        <w:t>确</w:t>
      </w:r>
      <w:r>
        <w:rPr>
          <w:rFonts w:hint="eastAsia" w:ascii="宋体" w:hAnsi="宋体" w:cs="微软雅黑"/>
          <w:kern w:val="0"/>
          <w:position w:val="-4"/>
          <w:szCs w:val="21"/>
        </w:rPr>
        <w:t>认。</w:t>
      </w:r>
    </w:p>
    <w:p>
      <w:pPr>
        <w:autoSpaceDE w:val="0"/>
        <w:autoSpaceDN w:val="0"/>
        <w:adjustRightInd w:val="0"/>
        <w:snapToGrid w:val="0"/>
        <w:spacing w:beforeLines="50" w:line="360" w:lineRule="auto"/>
        <w:jc w:val="left"/>
        <w:rPr>
          <w:rFonts w:ascii="宋体" w:hAnsi="宋体" w:cs="微软雅黑"/>
          <w:kern w:val="0"/>
          <w:sz w:val="20"/>
          <w:szCs w:val="20"/>
        </w:rPr>
      </w:pPr>
    </w:p>
    <w:p>
      <w:pPr>
        <w:tabs>
          <w:tab w:val="left" w:pos="7220"/>
        </w:tabs>
        <w:autoSpaceDE w:val="0"/>
        <w:autoSpaceDN w:val="0"/>
        <w:adjustRightInd w:val="0"/>
        <w:snapToGrid w:val="0"/>
        <w:spacing w:beforeLines="50" w:line="360" w:lineRule="auto"/>
        <w:ind w:left="3041" w:right="-20"/>
        <w:jc w:val="left"/>
        <w:rPr>
          <w:rFonts w:ascii="宋体" w:hAnsi="宋体" w:cs="微软雅黑"/>
          <w:kern w:val="0"/>
          <w:szCs w:val="21"/>
        </w:rPr>
      </w:pPr>
      <w:r>
        <w:rPr>
          <w:rFonts w:hint="eastAsia" w:ascii="宋体" w:hAnsi="宋体" w:cs="微软雅黑"/>
          <w:kern w:val="0"/>
          <w:position w:val="-2"/>
          <w:szCs w:val="21"/>
        </w:rPr>
        <w:t>单</w:t>
      </w:r>
      <w:r>
        <w:rPr>
          <w:rFonts w:hint="eastAsia" w:ascii="宋体" w:hAnsi="宋体" w:cs="微软雅黑"/>
          <w:spacing w:val="-2"/>
          <w:kern w:val="0"/>
          <w:position w:val="-2"/>
          <w:szCs w:val="21"/>
        </w:rPr>
        <w:t>位</w:t>
      </w:r>
      <w:r>
        <w:rPr>
          <w:rFonts w:hint="eastAsia" w:ascii="宋体" w:hAnsi="宋体" w:cs="微软雅黑"/>
          <w:kern w:val="0"/>
          <w:position w:val="-2"/>
          <w:szCs w:val="21"/>
        </w:rPr>
        <w:t>名</w:t>
      </w:r>
      <w:r>
        <w:rPr>
          <w:rFonts w:hint="eastAsia" w:ascii="宋体" w:hAnsi="宋体" w:cs="微软雅黑"/>
          <w:spacing w:val="-2"/>
          <w:kern w:val="0"/>
          <w:position w:val="-2"/>
          <w:szCs w:val="21"/>
        </w:rPr>
        <w:t>称（盖单位公章）</w:t>
      </w:r>
      <w:r>
        <w:rPr>
          <w:rFonts w:hint="eastAsia" w:ascii="宋体" w:hAnsi="宋体" w:cs="微软雅黑"/>
          <w:kern w:val="0"/>
          <w:position w:val="-2"/>
          <w:szCs w:val="21"/>
        </w:rPr>
        <w:t>：</w:t>
      </w:r>
    </w:p>
    <w:p>
      <w:pPr>
        <w:tabs>
          <w:tab w:val="left" w:pos="7760"/>
        </w:tabs>
        <w:autoSpaceDE w:val="0"/>
        <w:autoSpaceDN w:val="0"/>
        <w:adjustRightInd w:val="0"/>
        <w:snapToGrid w:val="0"/>
        <w:spacing w:beforeLines="50" w:line="360" w:lineRule="auto"/>
        <w:ind w:left="3041" w:right="-20"/>
        <w:jc w:val="left"/>
        <w:rPr>
          <w:rFonts w:ascii="宋体" w:hAnsi="宋体" w:cs="微软雅黑"/>
          <w:kern w:val="0"/>
          <w:szCs w:val="21"/>
        </w:rPr>
      </w:pPr>
      <w:r>
        <w:rPr>
          <w:rFonts w:hint="eastAsia" w:ascii="宋体" w:hAnsi="宋体" w:cs="微软雅黑"/>
          <w:kern w:val="0"/>
          <w:position w:val="-2"/>
          <w:szCs w:val="21"/>
        </w:rPr>
        <w:t>法定</w:t>
      </w:r>
      <w:r>
        <w:rPr>
          <w:rFonts w:hint="eastAsia" w:ascii="宋体" w:hAnsi="宋体" w:cs="微软雅黑"/>
          <w:spacing w:val="-2"/>
          <w:kern w:val="0"/>
          <w:position w:val="-2"/>
          <w:szCs w:val="21"/>
        </w:rPr>
        <w:t>代</w:t>
      </w:r>
      <w:r>
        <w:rPr>
          <w:rFonts w:hint="eastAsia" w:ascii="宋体" w:hAnsi="宋体" w:cs="微软雅黑"/>
          <w:kern w:val="0"/>
          <w:position w:val="-2"/>
          <w:szCs w:val="21"/>
        </w:rPr>
        <w:t>表</w:t>
      </w:r>
      <w:r>
        <w:rPr>
          <w:rFonts w:hint="eastAsia" w:ascii="宋体" w:hAnsi="宋体" w:cs="微软雅黑"/>
          <w:spacing w:val="-2"/>
          <w:kern w:val="0"/>
          <w:position w:val="-2"/>
          <w:szCs w:val="21"/>
        </w:rPr>
        <w:t>人</w:t>
      </w:r>
      <w:r>
        <w:rPr>
          <w:rFonts w:hint="eastAsia" w:ascii="宋体" w:hAnsi="宋体" w:cs="微软雅黑"/>
          <w:kern w:val="0"/>
          <w:position w:val="-2"/>
          <w:szCs w:val="21"/>
        </w:rPr>
        <w:t>（或</w:t>
      </w:r>
      <w:r>
        <w:rPr>
          <w:rFonts w:hint="eastAsia" w:ascii="宋体" w:hAnsi="宋体" w:cs="微软雅黑"/>
          <w:spacing w:val="-2"/>
          <w:kern w:val="0"/>
          <w:position w:val="-2"/>
          <w:szCs w:val="21"/>
        </w:rPr>
        <w:t>授权代表人）</w:t>
      </w:r>
      <w:r>
        <w:rPr>
          <w:rFonts w:hint="eastAsia"/>
        </w:rPr>
        <w:t>（签字或印章）：</w:t>
      </w:r>
    </w:p>
    <w:p>
      <w:pPr>
        <w:tabs>
          <w:tab w:val="left" w:pos="5380"/>
          <w:tab w:val="left" w:pos="6520"/>
          <w:tab w:val="left" w:pos="7680"/>
        </w:tabs>
        <w:autoSpaceDE w:val="0"/>
        <w:autoSpaceDN w:val="0"/>
        <w:adjustRightInd w:val="0"/>
        <w:snapToGrid w:val="0"/>
        <w:spacing w:beforeLines="50" w:line="360" w:lineRule="auto"/>
        <w:ind w:left="4435" w:right="-20" w:firstLine="210" w:firstLineChars="100"/>
        <w:jc w:val="left"/>
        <w:rPr>
          <w:rFonts w:ascii="宋体" w:hAnsi="宋体" w:cs="微软雅黑"/>
          <w:kern w:val="0"/>
          <w:szCs w:val="21"/>
        </w:rPr>
      </w:pPr>
      <w:r>
        <w:rPr>
          <w:rFonts w:hint="eastAsia" w:ascii="宋体" w:hAnsi="宋体" w:cs="微软雅黑"/>
          <w:kern w:val="0"/>
          <w:szCs w:val="21"/>
        </w:rPr>
        <w:t xml:space="preserve">年   </w:t>
      </w:r>
      <w:r>
        <w:rPr>
          <w:rFonts w:hint="eastAsia" w:ascii="宋体" w:hAnsi="宋体" w:cs="微软雅黑"/>
          <w:spacing w:val="-2"/>
          <w:kern w:val="0"/>
          <w:szCs w:val="21"/>
        </w:rPr>
        <w:t xml:space="preserve">月   </w:t>
      </w:r>
      <w:r>
        <w:rPr>
          <w:rFonts w:hint="eastAsia" w:ascii="宋体" w:hAnsi="宋体" w:cs="微软雅黑"/>
          <w:kern w:val="0"/>
          <w:szCs w:val="21"/>
        </w:rPr>
        <w:t>日</w:t>
      </w:r>
    </w:p>
    <w:p>
      <w:pPr>
        <w:adjustRightInd w:val="0"/>
        <w:snapToGrid w:val="0"/>
        <w:spacing w:beforeLines="50" w:line="360" w:lineRule="auto"/>
        <w:ind w:firstLine="6510" w:firstLineChars="3100"/>
        <w:rPr>
          <w:rFonts w:ascii="宋体" w:hAnsi="宋体"/>
          <w:szCs w:val="21"/>
        </w:rPr>
      </w:pPr>
    </w:p>
    <w:p>
      <w:pPr>
        <w:adjustRightInd w:val="0"/>
        <w:snapToGrid w:val="0"/>
        <w:spacing w:beforeLines="50" w:line="360" w:lineRule="auto"/>
        <w:ind w:firstLine="6535" w:firstLineChars="3100"/>
        <w:rPr>
          <w:rFonts w:ascii="宋体" w:hAnsi="宋体"/>
          <w:b/>
          <w:szCs w:val="21"/>
          <w:u w:val="single"/>
        </w:rPr>
      </w:pPr>
    </w:p>
    <w:p>
      <w:pPr>
        <w:pStyle w:val="5"/>
        <w:adjustRightInd w:val="0"/>
        <w:snapToGrid w:val="0"/>
        <w:spacing w:beforeLines="50" w:line="360" w:lineRule="auto"/>
        <w:rPr>
          <w:rFonts w:ascii="黑体" w:hAnsi="黑体" w:eastAsia="黑体"/>
          <w:sz w:val="32"/>
          <w:szCs w:val="32"/>
        </w:rPr>
      </w:pPr>
      <w:bookmarkStart w:id="90" w:name="_GoBack"/>
      <w:bookmarkEnd w:id="90"/>
      <w:r>
        <w:rPr>
          <w:rFonts w:ascii="黑体" w:hAnsi="黑体" w:eastAsia="黑体"/>
          <w:sz w:val="32"/>
          <w:szCs w:val="32"/>
        </w:rPr>
        <w:br w:type="page"/>
      </w:r>
      <w:bookmarkStart w:id="22" w:name="_Toc14971"/>
      <w:r>
        <w:rPr>
          <w:rFonts w:hint="eastAsia" w:ascii="黑体" w:hAnsi="黑体" w:eastAsia="黑体"/>
          <w:sz w:val="32"/>
          <w:szCs w:val="32"/>
        </w:rPr>
        <w:t>第二章 谈判须知</w:t>
      </w:r>
      <w:bookmarkEnd w:id="22"/>
    </w:p>
    <w:p>
      <w:pPr>
        <w:pStyle w:val="6"/>
        <w:adjustRightInd w:val="0"/>
        <w:snapToGrid w:val="0"/>
        <w:spacing w:beforeLines="50"/>
        <w:jc w:val="center"/>
        <w:rPr>
          <w:rFonts w:ascii="黑体" w:hAnsi="黑体" w:eastAsia="黑体"/>
          <w:sz w:val="28"/>
          <w:szCs w:val="28"/>
        </w:rPr>
      </w:pPr>
      <w:bookmarkStart w:id="23" w:name="_Toc21868"/>
      <w:r>
        <w:rPr>
          <w:rFonts w:hint="eastAsia" w:ascii="黑体" w:hAnsi="黑体" w:eastAsia="黑体"/>
          <w:sz w:val="28"/>
          <w:szCs w:val="28"/>
        </w:rPr>
        <w:t>第一节 谈判须知前附表</w:t>
      </w:r>
      <w:bookmarkEnd w:id="23"/>
    </w:p>
    <w:tbl>
      <w:tblPr>
        <w:tblStyle w:val="43"/>
        <w:tblW w:w="92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1701"/>
        <w:gridCol w:w="592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条款号</w:t>
            </w:r>
          </w:p>
        </w:tc>
        <w:tc>
          <w:tcPr>
            <w:tcW w:w="1701"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条款名称</w:t>
            </w:r>
          </w:p>
        </w:tc>
        <w:tc>
          <w:tcPr>
            <w:tcW w:w="5929" w:type="dxa"/>
            <w:vAlign w:val="center"/>
          </w:tcPr>
          <w:p>
            <w:pPr>
              <w:adjustRightInd w:val="0"/>
              <w:snapToGrid w:val="0"/>
              <w:spacing w:beforeLines="50" w:line="360" w:lineRule="auto"/>
              <w:jc w:val="center"/>
              <w:rPr>
                <w:rFonts w:ascii="宋体" w:hAns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采购项目</w:t>
            </w:r>
          </w:p>
        </w:tc>
        <w:tc>
          <w:tcPr>
            <w:tcW w:w="5929" w:type="dxa"/>
            <w:vAlign w:val="center"/>
          </w:tcPr>
          <w:p>
            <w:pPr>
              <w:adjustRightInd w:val="0"/>
              <w:snapToGrid w:val="0"/>
              <w:spacing w:beforeLines="50" w:line="360" w:lineRule="auto"/>
              <w:rPr>
                <w:rFonts w:ascii="宋体" w:hAnsi="宋体"/>
                <w:szCs w:val="21"/>
              </w:rPr>
            </w:pPr>
            <w:r>
              <w:rPr>
                <w:rFonts w:hint="eastAsia"/>
              </w:rPr>
              <w:t>湖南省水利厅眼科设备等采购项目竞争性谈判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第2.1款</w:t>
            </w:r>
          </w:p>
        </w:tc>
        <w:tc>
          <w:tcPr>
            <w:tcW w:w="1701" w:type="dxa"/>
          </w:tcPr>
          <w:p>
            <w:pPr>
              <w:adjustRightInd w:val="0"/>
              <w:snapToGrid w:val="0"/>
              <w:spacing w:beforeLines="50" w:line="360" w:lineRule="auto"/>
            </w:pPr>
            <w:r>
              <w:rPr>
                <w:rFonts w:hint="eastAsia"/>
              </w:rPr>
              <w:t>采购人名称、地址、电话、联系人</w:t>
            </w:r>
          </w:p>
        </w:tc>
        <w:tc>
          <w:tcPr>
            <w:tcW w:w="5929" w:type="dxa"/>
            <w:vAlign w:val="center"/>
          </w:tcPr>
          <w:p>
            <w:pPr>
              <w:adjustRightInd w:val="0"/>
              <w:snapToGrid w:val="0"/>
              <w:spacing w:before="50" w:line="360" w:lineRule="auto"/>
            </w:pPr>
            <w:r>
              <w:rPr>
                <w:rFonts w:hint="eastAsia"/>
              </w:rPr>
              <w:t>采购人名称：湖南省水利厅</w:t>
            </w:r>
          </w:p>
          <w:p>
            <w:pPr>
              <w:adjustRightInd w:val="0"/>
              <w:snapToGrid w:val="0"/>
              <w:spacing w:before="50" w:line="360" w:lineRule="auto"/>
            </w:pPr>
            <w:r>
              <w:rPr>
                <w:rFonts w:hint="eastAsia"/>
              </w:rPr>
              <w:t>地址：湖南省长沙市雨花区韶山北路370号</w:t>
            </w:r>
          </w:p>
          <w:p>
            <w:pPr>
              <w:spacing w:beforeLines="50" w:line="360" w:lineRule="auto"/>
            </w:pPr>
            <w:r>
              <w:rPr>
                <w:rFonts w:hint="eastAsia"/>
              </w:rPr>
              <w:t>电  话：0731-</w:t>
            </w:r>
            <w:r>
              <w:t>858954</w:t>
            </w:r>
            <w:r>
              <w:rPr>
                <w:rFonts w:hint="eastAsia"/>
              </w:rPr>
              <w:t>36</w:t>
            </w:r>
          </w:p>
          <w:p>
            <w:pPr>
              <w:adjustRightInd w:val="0"/>
              <w:snapToGrid w:val="0"/>
              <w:spacing w:before="50" w:line="360" w:lineRule="auto"/>
            </w:pPr>
            <w:r>
              <w:rPr>
                <w:rFonts w:hint="eastAsia"/>
              </w:rPr>
              <w:t>联系人：李高峰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第2.2款</w:t>
            </w:r>
          </w:p>
        </w:tc>
        <w:tc>
          <w:tcPr>
            <w:tcW w:w="1701" w:type="dxa"/>
          </w:tcPr>
          <w:p>
            <w:pPr>
              <w:adjustRightInd w:val="0"/>
              <w:snapToGrid w:val="0"/>
              <w:spacing w:before="50" w:line="360" w:lineRule="auto"/>
            </w:pPr>
            <w:r>
              <w:rPr>
                <w:rFonts w:hint="eastAsia"/>
              </w:rPr>
              <w:t>采购代理机构名称、地址、电话、联系人</w:t>
            </w:r>
          </w:p>
        </w:tc>
        <w:tc>
          <w:tcPr>
            <w:tcW w:w="5929" w:type="dxa"/>
            <w:vAlign w:val="center"/>
          </w:tcPr>
          <w:p>
            <w:pPr>
              <w:adjustRightInd w:val="0"/>
              <w:snapToGrid w:val="0"/>
              <w:spacing w:before="50" w:line="360" w:lineRule="auto"/>
            </w:pPr>
            <w:r>
              <w:rPr>
                <w:rFonts w:hint="eastAsia"/>
              </w:rPr>
              <w:t>采购代理机构名称：</w:t>
            </w:r>
            <w:bookmarkStart w:id="24" w:name="_Hlk525200960"/>
            <w:r>
              <w:rPr>
                <w:rFonts w:hint="eastAsia" w:ascii="宋体" w:hAnsi="宋体" w:cs="宋体"/>
                <w:szCs w:val="21"/>
              </w:rPr>
              <w:t>湖南中泉项目管理有限公司</w:t>
            </w:r>
            <w:bookmarkEnd w:id="24"/>
          </w:p>
          <w:p>
            <w:pPr>
              <w:adjustRightInd w:val="0"/>
              <w:snapToGrid w:val="0"/>
              <w:spacing w:before="50" w:line="360" w:lineRule="auto"/>
            </w:pPr>
            <w:r>
              <w:rPr>
                <w:rFonts w:hint="eastAsia"/>
              </w:rPr>
              <w:t>地址：长沙市天心区芙蓉南路星城荣域C座8楼</w:t>
            </w:r>
          </w:p>
          <w:p>
            <w:pPr>
              <w:adjustRightInd w:val="0"/>
              <w:snapToGrid w:val="0"/>
              <w:spacing w:before="50" w:line="360" w:lineRule="auto"/>
            </w:pPr>
            <w:r>
              <w:rPr>
                <w:rFonts w:hint="eastAsia"/>
              </w:rPr>
              <w:t>电话：</w:t>
            </w:r>
            <w:r>
              <w:t>0731-8223</w:t>
            </w:r>
            <w:r>
              <w:rPr>
                <w:rFonts w:hint="eastAsia"/>
              </w:rPr>
              <w:t>1118</w:t>
            </w:r>
          </w:p>
          <w:p>
            <w:pPr>
              <w:adjustRightInd w:val="0"/>
              <w:snapToGrid w:val="0"/>
              <w:spacing w:before="50" w:line="360" w:lineRule="auto"/>
            </w:pPr>
            <w:r>
              <w:rPr>
                <w:rFonts w:hint="eastAsia"/>
              </w:rPr>
              <w:t>联系人：冉光玲、潘红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szCs w:val="21"/>
              </w:rPr>
            </w:pPr>
            <w:r>
              <w:rPr>
                <w:rFonts w:hint="eastAsia" w:ascii="宋体" w:hAnsi="宋体"/>
                <w:szCs w:val="21"/>
              </w:rPr>
              <w:t>第3.1款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bCs/>
                <w:szCs w:val="21"/>
              </w:rPr>
              <w:t>供应商</w:t>
            </w:r>
            <w:r>
              <w:rPr>
                <w:rFonts w:hint="eastAsia" w:ascii="宋体" w:hAnsi="宋体"/>
                <w:szCs w:val="21"/>
              </w:rPr>
              <w:t>资格条件</w:t>
            </w:r>
          </w:p>
        </w:tc>
        <w:tc>
          <w:tcPr>
            <w:tcW w:w="5929" w:type="dxa"/>
            <w:vAlign w:val="center"/>
          </w:tcPr>
          <w:p>
            <w:pPr>
              <w:pStyle w:val="38"/>
              <w:spacing w:before="0" w:beforeAutospacing="0" w:after="0" w:afterAutospacing="0" w:line="360" w:lineRule="auto"/>
              <w:contextualSpacing/>
              <w:rPr>
                <w:color w:val="000000"/>
                <w:sz w:val="21"/>
                <w:szCs w:val="21"/>
              </w:rPr>
            </w:pPr>
            <w:r>
              <w:rPr>
                <w:rFonts w:hint="eastAsia"/>
                <w:color w:val="000000"/>
                <w:sz w:val="21"/>
                <w:szCs w:val="21"/>
              </w:rPr>
              <w:t>1、基本资格条件：符合《</w:t>
            </w:r>
            <w:r>
              <w:rPr>
                <w:rFonts w:hint="eastAsia"/>
                <w:color w:val="000000"/>
                <w:kern w:val="2"/>
                <w:sz w:val="21"/>
                <w:szCs w:val="21"/>
              </w:rPr>
              <w:t>中华人民共和国政府采购法</w:t>
            </w:r>
            <w:r>
              <w:rPr>
                <w:rFonts w:hint="eastAsia"/>
                <w:color w:val="000000"/>
                <w:sz w:val="21"/>
                <w:szCs w:val="21"/>
              </w:rPr>
              <w:t>》第二十二条、《政府采购法实施条例》第十七条规定的供应商条件。</w:t>
            </w:r>
          </w:p>
          <w:p>
            <w:pPr>
              <w:spacing w:line="360" w:lineRule="auto"/>
              <w:contextualSpacing/>
              <w:rPr>
                <w:rFonts w:ascii="宋体" w:hAnsi="宋体"/>
                <w:color w:val="000000"/>
                <w:szCs w:val="21"/>
              </w:rPr>
            </w:pPr>
            <w:bookmarkStart w:id="25" w:name="OLE_LINK1"/>
            <w:r>
              <w:rPr>
                <w:rFonts w:hint="eastAsia" w:ascii="宋体" w:hAnsi="宋体"/>
                <w:color w:val="000000"/>
                <w:szCs w:val="21"/>
              </w:rPr>
              <w:t>(1)投标人法人营业执照副本复印件或事业单位法人证书复印件。</w:t>
            </w:r>
          </w:p>
          <w:p>
            <w:pPr>
              <w:spacing w:line="360" w:lineRule="auto"/>
              <w:contextualSpacing/>
              <w:rPr>
                <w:rFonts w:ascii="宋体" w:hAnsi="宋体"/>
                <w:color w:val="000000"/>
                <w:szCs w:val="21"/>
              </w:rPr>
            </w:pPr>
            <w:r>
              <w:rPr>
                <w:rFonts w:hint="eastAsia" w:ascii="宋体" w:hAnsi="宋体"/>
                <w:color w:val="000000"/>
                <w:szCs w:val="21"/>
              </w:rPr>
              <w:t>(2)法定代表人授权委托书原件及双方身份证复印件。</w:t>
            </w:r>
          </w:p>
          <w:p>
            <w:pPr>
              <w:spacing w:line="360" w:lineRule="auto"/>
              <w:contextualSpacing/>
              <w:rPr>
                <w:rFonts w:ascii="宋体" w:hAnsi="宋体"/>
                <w:color w:val="000000"/>
                <w:szCs w:val="21"/>
              </w:rPr>
            </w:pPr>
            <w:r>
              <w:rPr>
                <w:rFonts w:hint="eastAsia" w:ascii="宋体" w:hAnsi="宋体"/>
                <w:color w:val="000000"/>
                <w:szCs w:val="21"/>
              </w:rPr>
              <w:t>(3)投标人税务登记证(国税或地税)复印件(如营业执照已改为“三证合一”新证的可不提供)或依法缴税的承诺。</w:t>
            </w:r>
          </w:p>
          <w:p>
            <w:pPr>
              <w:spacing w:line="360" w:lineRule="auto"/>
              <w:contextualSpacing/>
              <w:rPr>
                <w:rFonts w:ascii="宋体" w:hAnsi="宋体"/>
                <w:color w:val="000000"/>
                <w:szCs w:val="21"/>
              </w:rPr>
            </w:pPr>
            <w:r>
              <w:rPr>
                <w:rFonts w:hint="eastAsia" w:ascii="宋体" w:hAnsi="宋体"/>
                <w:color w:val="000000"/>
                <w:szCs w:val="21"/>
              </w:rPr>
              <w:t>(4)投标人社会保险登记证或缴纳社会保险的凭证复印件(如营业执照已改为“五证合一”新证的可不提供)或依法缴纳社保的承诺。</w:t>
            </w:r>
          </w:p>
          <w:p>
            <w:pPr>
              <w:spacing w:line="360" w:lineRule="auto"/>
              <w:contextualSpacing/>
              <w:rPr>
                <w:rFonts w:ascii="宋体" w:hAnsi="宋体"/>
                <w:color w:val="000000"/>
                <w:szCs w:val="21"/>
              </w:rPr>
            </w:pPr>
            <w:r>
              <w:rPr>
                <w:rFonts w:hint="eastAsia" w:ascii="宋体" w:hAnsi="宋体"/>
                <w:color w:val="000000"/>
                <w:szCs w:val="21"/>
              </w:rPr>
              <w:t>(5)参加政府采购活动前三年内在经营活动中没有重大违法记录的书面声明。</w:t>
            </w:r>
          </w:p>
          <w:p>
            <w:pPr>
              <w:spacing w:line="360" w:lineRule="auto"/>
              <w:contextualSpacing/>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w:t>
            </w:r>
            <w:r>
              <w:rPr>
                <w:rFonts w:ascii="宋体" w:hAnsi="宋体"/>
                <w:color w:val="000000"/>
                <w:szCs w:val="21"/>
              </w:rPr>
              <w:t xml:space="preserve"> 投标人需提供</w:t>
            </w:r>
            <w:r>
              <w:rPr>
                <w:rFonts w:hint="eastAsia" w:ascii="宋体" w:hAnsi="宋体"/>
                <w:color w:val="000000"/>
                <w:szCs w:val="21"/>
              </w:rPr>
              <w:t>2</w:t>
            </w:r>
            <w:r>
              <w:rPr>
                <w:rFonts w:ascii="宋体" w:hAnsi="宋体"/>
                <w:color w:val="000000"/>
                <w:szCs w:val="21"/>
              </w:rPr>
              <w:t>019年度经会计事务所审核盖章的财务审计报告（文件中只需提供上述报告中的审计结论意见书及资产负债表、利润表和现金流量表复印件，新成立的公司提供最近月份的财务报表）</w:t>
            </w:r>
            <w:r>
              <w:rPr>
                <w:rFonts w:hint="eastAsia" w:ascii="宋体" w:hAnsi="宋体"/>
                <w:color w:val="000000"/>
                <w:szCs w:val="21"/>
              </w:rPr>
              <w:t>或承诺具有良好的商业信誉和健全的财务会计制度。</w:t>
            </w:r>
          </w:p>
          <w:p>
            <w:pPr>
              <w:spacing w:line="360" w:lineRule="auto"/>
              <w:contextualSpacing/>
              <w:rPr>
                <w:rFonts w:ascii="宋体" w:hAnsi="宋体"/>
                <w:color w:val="000000"/>
                <w:szCs w:val="21"/>
              </w:rPr>
            </w:pPr>
            <w:r>
              <w:rPr>
                <w:rFonts w:hint="eastAsia" w:ascii="宋体" w:hAnsi="宋体"/>
                <w:color w:val="000000"/>
                <w:szCs w:val="21"/>
              </w:rPr>
              <w:t>注：营业执照、税务登记证、组织机构代码证已作三证合一的，只需提供带有统一社会信用代码的营业执照；营业执照、税务登记证、组织机构代码证、社会保险登记证已作五证合一的，只需提供带有统一社会信用代码的营业执照。</w:t>
            </w:r>
          </w:p>
          <w:bookmarkEnd w:id="25"/>
          <w:p>
            <w:pPr>
              <w:spacing w:line="360" w:lineRule="atLeast"/>
              <w:rPr>
                <w:rFonts w:ascii="宋体" w:hAnsi="宋体" w:cs="宋体"/>
                <w:szCs w:val="21"/>
              </w:rPr>
            </w:pPr>
            <w:r>
              <w:rPr>
                <w:rFonts w:hint="eastAsia" w:ascii="宋体" w:hAnsi="宋体" w:cs="宋体"/>
                <w:szCs w:val="21"/>
              </w:rPr>
              <w:t>特定资格：</w:t>
            </w:r>
          </w:p>
          <w:p>
            <w:pPr>
              <w:adjustRightInd w:val="0"/>
              <w:snapToGrid w:val="0"/>
              <w:spacing w:before="50" w:line="360" w:lineRule="auto"/>
              <w:rPr>
                <w:rFonts w:ascii="宋体" w:hAnsi="宋体"/>
                <w:color w:val="FF0000"/>
                <w:szCs w:val="21"/>
              </w:rPr>
            </w:pPr>
            <w:r>
              <w:rPr>
                <w:rFonts w:hint="eastAsia" w:ascii="宋体" w:hAnsi="宋体"/>
                <w:color w:val="FF0000"/>
                <w:szCs w:val="21"/>
              </w:rPr>
              <w:t>（</w:t>
            </w:r>
            <w:r>
              <w:rPr>
                <w:rFonts w:hint="eastAsia" w:ascii="宋体" w:hAnsi="宋体"/>
                <w:color w:val="000000"/>
                <w:szCs w:val="21"/>
              </w:rPr>
              <w:t>1）投标人须具有“医疗器械生产企业许可证”或“医疗器械经营企业许可证”，提供证书复印件；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pPr>
              <w:adjustRightInd w:val="0"/>
              <w:snapToGrid w:val="0"/>
              <w:spacing w:before="50" w:line="360" w:lineRule="auto"/>
              <w:jc w:val="center"/>
              <w:rPr>
                <w:rFonts w:ascii="宋体" w:hAnsi="宋体"/>
                <w:szCs w:val="21"/>
              </w:rPr>
            </w:pPr>
            <w:r>
              <w:rPr>
                <w:rFonts w:hint="eastAsia" w:ascii="宋体" w:hAnsi="宋体"/>
                <w:szCs w:val="21"/>
              </w:rPr>
              <w:t>第3.2款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是否接受联合体形式</w:t>
            </w:r>
          </w:p>
        </w:tc>
        <w:tc>
          <w:tcPr>
            <w:tcW w:w="5929" w:type="dxa"/>
            <w:vAlign w:val="center"/>
          </w:tcPr>
          <w:p>
            <w:pPr>
              <w:adjustRightInd w:val="0"/>
              <w:snapToGrid w:val="0"/>
              <w:spacing w:before="50" w:line="360" w:lineRule="auto"/>
              <w:rPr>
                <w:rFonts w:ascii="宋体" w:hAnsi="宋体"/>
                <w:szCs w:val="21"/>
              </w:rPr>
            </w:pPr>
            <w:r>
              <w:rPr>
                <w:rFonts w:hint="eastAsia" w:ascii="宋体" w:hAnsi="宋体"/>
                <w:szCs w:val="21"/>
              </w:rPr>
              <w:t>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第3.3款</w:t>
            </w:r>
          </w:p>
        </w:tc>
        <w:tc>
          <w:tcPr>
            <w:tcW w:w="1701" w:type="dxa"/>
            <w:vAlign w:val="center"/>
          </w:tcPr>
          <w:p>
            <w:pPr>
              <w:adjustRightInd w:val="0"/>
              <w:snapToGrid w:val="0"/>
              <w:spacing w:before="50" w:line="360" w:lineRule="auto"/>
              <w:rPr>
                <w:rFonts w:ascii="宋体" w:hAnsi="宋体"/>
                <w:bCs/>
                <w:szCs w:val="21"/>
              </w:rPr>
            </w:pPr>
            <w:r>
              <w:rPr>
                <w:rFonts w:hint="eastAsia" w:ascii="宋体" w:hAnsi="宋体" w:cs="宋体"/>
                <w:kern w:val="0"/>
                <w:szCs w:val="21"/>
              </w:rPr>
              <w:t>供应商的</w:t>
            </w:r>
            <w:r>
              <w:rPr>
                <w:rFonts w:hint="eastAsia" w:ascii="宋体" w:hAnsi="宋体"/>
                <w:szCs w:val="21"/>
              </w:rPr>
              <w:t>邀请方式</w:t>
            </w:r>
          </w:p>
        </w:tc>
        <w:tc>
          <w:tcPr>
            <w:tcW w:w="5929" w:type="dxa"/>
            <w:vAlign w:val="center"/>
          </w:tcPr>
          <w:p>
            <w:pPr>
              <w:rPr>
                <w:rFonts w:ascii="宋体" w:hAnsi="宋体"/>
                <w:color w:val="000000"/>
                <w:szCs w:val="21"/>
              </w:rPr>
            </w:pPr>
            <w:r>
              <w:rPr>
                <w:rFonts w:hint="eastAsia" w:ascii="宋体" w:hAnsi="宋体"/>
                <w:color w:val="000000"/>
                <w:szCs w:val="21"/>
              </w:rPr>
              <w:t>□供应商库抽取</w:t>
            </w:r>
          </w:p>
          <w:p>
            <w:pPr>
              <w:rPr>
                <w:rFonts w:ascii="宋体" w:hAnsi="宋体"/>
                <w:color w:val="000000"/>
                <w:szCs w:val="21"/>
              </w:rPr>
            </w:pPr>
            <w:r>
              <w:rPr>
                <w:rFonts w:hint="eastAsia" w:ascii="宋体" w:hAnsi="宋体"/>
                <w:color w:val="000000"/>
                <w:szCs w:val="21"/>
              </w:rPr>
              <w:t>□网上公告征集</w:t>
            </w:r>
          </w:p>
          <w:p>
            <w:pPr>
              <w:rPr>
                <w:rFonts w:ascii="宋体" w:hAnsi="宋体"/>
                <w:szCs w:val="21"/>
              </w:rPr>
            </w:pPr>
            <w:r>
              <w:rPr>
                <w:rFonts w:hint="eastAsia" w:ascii="宋体" w:hAnsi="宋体"/>
                <w:color w:val="000000"/>
                <w:szCs w:val="21"/>
              </w:rPr>
              <w:t>☑专家采购人推荐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第5.1款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现场勘察</w:t>
            </w:r>
          </w:p>
        </w:tc>
        <w:tc>
          <w:tcPr>
            <w:tcW w:w="5929" w:type="dxa"/>
            <w:vAlign w:val="center"/>
          </w:tcPr>
          <w:p>
            <w:pPr>
              <w:adjustRightInd w:val="0"/>
              <w:snapToGrid w:val="0"/>
              <w:spacing w:before="50" w:line="360" w:lineRule="auto"/>
              <w:rPr>
                <w:rFonts w:ascii="宋体" w:hAnsi="宋体"/>
                <w:szCs w:val="21"/>
              </w:rPr>
            </w:pPr>
            <w:r>
              <w:rPr>
                <w:rFonts w:hint="eastAsia" w:ascii="宋体" w:hAnsi="宋体"/>
                <w:szCs w:val="21"/>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第6.3款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bCs/>
                <w:szCs w:val="21"/>
              </w:rPr>
              <w:t>谈判文件的实质性变动内容</w:t>
            </w:r>
          </w:p>
        </w:tc>
        <w:tc>
          <w:tcPr>
            <w:tcW w:w="5929" w:type="dxa"/>
            <w:vAlign w:val="center"/>
          </w:tcPr>
          <w:p>
            <w:pPr>
              <w:adjustRightInd w:val="0"/>
              <w:snapToGrid w:val="0"/>
              <w:spacing w:before="50" w:line="360" w:lineRule="auto"/>
              <w:rPr>
                <w:rFonts w:ascii="宋体" w:hAnsi="宋体"/>
                <w:szCs w:val="21"/>
              </w:rPr>
            </w:pPr>
            <w:r>
              <w:rPr>
                <w:rFonts w:ascii="宋体" w:hAnsi="宋体" w:cs="宋体"/>
                <w:szCs w:val="21"/>
              </w:rPr>
              <w:t>第四章</w:t>
            </w:r>
            <w:r>
              <w:rPr>
                <w:rFonts w:hint="eastAsia" w:ascii="宋体" w:hAnsi="宋体" w:cs="宋体"/>
                <w:szCs w:val="21"/>
              </w:rPr>
              <w:t>采购需求</w:t>
            </w:r>
            <w:r>
              <w:rPr>
                <w:rFonts w:ascii="宋体" w:hAnsi="宋体" w:cs="宋体"/>
                <w:szCs w:val="21"/>
              </w:rPr>
              <w:t>及合同条款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第10.3款</w:t>
            </w:r>
          </w:p>
        </w:tc>
        <w:tc>
          <w:tcPr>
            <w:tcW w:w="1701" w:type="dxa"/>
            <w:vAlign w:val="center"/>
          </w:tcPr>
          <w:p>
            <w:pPr>
              <w:adjustRightInd w:val="0"/>
              <w:snapToGrid w:val="0"/>
              <w:spacing w:before="50" w:line="360" w:lineRule="auto"/>
              <w:jc w:val="left"/>
              <w:rPr>
                <w:rFonts w:ascii="宋体" w:hAnsi="宋体"/>
                <w:szCs w:val="21"/>
              </w:rPr>
            </w:pPr>
            <w:r>
              <w:rPr>
                <w:rFonts w:hint="eastAsia" w:ascii="宋体" w:hAnsi="宋体"/>
                <w:szCs w:val="21"/>
              </w:rPr>
              <w:t>采购项目预算</w:t>
            </w:r>
          </w:p>
        </w:tc>
        <w:tc>
          <w:tcPr>
            <w:tcW w:w="5929" w:type="dxa"/>
            <w:vAlign w:val="center"/>
          </w:tcPr>
          <w:p>
            <w:pPr>
              <w:adjustRightInd w:val="0"/>
              <w:snapToGrid w:val="0"/>
              <w:spacing w:before="50" w:line="360" w:lineRule="auto"/>
              <w:jc w:val="left"/>
            </w:pPr>
            <w:r>
              <w:rPr>
                <w:rFonts w:hint="eastAsia"/>
              </w:rPr>
              <w:t>780000元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第10.6款</w:t>
            </w:r>
          </w:p>
        </w:tc>
        <w:tc>
          <w:tcPr>
            <w:tcW w:w="1701" w:type="dxa"/>
            <w:vAlign w:val="center"/>
          </w:tcPr>
          <w:p>
            <w:pPr>
              <w:adjustRightInd w:val="0"/>
              <w:snapToGrid w:val="0"/>
              <w:spacing w:before="50" w:line="360" w:lineRule="auto"/>
              <w:jc w:val="left"/>
              <w:rPr>
                <w:rFonts w:ascii="宋体" w:hAnsi="宋体"/>
                <w:szCs w:val="21"/>
              </w:rPr>
            </w:pPr>
            <w:r>
              <w:rPr>
                <w:rFonts w:hint="eastAsia" w:ascii="宋体" w:hAnsi="宋体"/>
                <w:szCs w:val="21"/>
              </w:rPr>
              <w:t>报价的其他要求</w:t>
            </w:r>
          </w:p>
        </w:tc>
        <w:tc>
          <w:tcPr>
            <w:tcW w:w="5929" w:type="dxa"/>
            <w:vAlign w:val="center"/>
          </w:tcPr>
          <w:p>
            <w:pPr>
              <w:adjustRightInd w:val="0"/>
              <w:snapToGrid w:val="0"/>
              <w:spacing w:before="50" w:line="360" w:lineRule="auto"/>
              <w:jc w:val="left"/>
              <w:rPr>
                <w:rFonts w:ascii="宋体" w:hAnsi="宋体"/>
                <w:szCs w:val="21"/>
              </w:rPr>
            </w:pPr>
            <w:r>
              <w:rPr>
                <w:rFonts w:hint="eastAsia" w:ascii="宋体" w:hAnsi="宋体"/>
                <w:color w:val="000000"/>
                <w:szCs w:val="21"/>
              </w:rPr>
              <w:t>如果在评标过程中，评标小组发现投标人的投标报价明显低于其他通过符合性审查投标人的综合报价或者有理由怀疑其投标综合报价可能低于其成本的，将要求该投标人在规定的时间内出具详细的成本计算清单（加盖投标人单位公章或授权代表签字）并提供相关证明材料（相关证明材料：提供与本次采购规模、性能参数类似的业绩，以合同复印件为准，并加盖投标产品生产厂家单位公章）。投标人在规定的时间内不能出具详细的成本计算清单或不能提供相关证明材料的，视作该投标人以低于成本报价投标，其投标文件应作废标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第11.1款</w:t>
            </w:r>
          </w:p>
        </w:tc>
        <w:tc>
          <w:tcPr>
            <w:tcW w:w="1701" w:type="dxa"/>
            <w:vAlign w:val="center"/>
          </w:tcPr>
          <w:p>
            <w:pPr>
              <w:adjustRightInd w:val="0"/>
              <w:snapToGrid w:val="0"/>
              <w:spacing w:before="50" w:line="360" w:lineRule="auto"/>
              <w:ind w:left="-533" w:leftChars="-254" w:firstLine="533" w:firstLineChars="254"/>
              <w:rPr>
                <w:rFonts w:ascii="宋体" w:hAnsi="宋体"/>
                <w:szCs w:val="21"/>
              </w:rPr>
            </w:pPr>
            <w:r>
              <w:rPr>
                <w:rFonts w:hint="eastAsia" w:ascii="宋体" w:hAnsi="宋体"/>
                <w:szCs w:val="21"/>
              </w:rPr>
              <w:t>保证金</w:t>
            </w:r>
          </w:p>
        </w:tc>
        <w:tc>
          <w:tcPr>
            <w:tcW w:w="5929" w:type="dxa"/>
            <w:vAlign w:val="center"/>
          </w:tcPr>
          <w:p>
            <w:pPr>
              <w:adjustRightInd w:val="0"/>
              <w:snapToGrid w:val="0"/>
              <w:spacing w:line="360" w:lineRule="auto"/>
              <w:jc w:val="left"/>
              <w:rPr>
                <w:rFonts w:ascii="宋体" w:hAnsi="宋体" w:cs="宋体"/>
                <w:szCs w:val="21"/>
              </w:rPr>
            </w:pPr>
            <w:r>
              <w:rPr>
                <w:rFonts w:hint="eastAsia" w:ascii="宋体" w:hAnsi="宋体" w:cs="宋体"/>
                <w:szCs w:val="21"/>
              </w:rPr>
              <w:t>□ 不要求提供</w:t>
            </w:r>
          </w:p>
          <w:p>
            <w:pPr>
              <w:adjustRightInd w:val="0"/>
              <w:snapToGrid w:val="0"/>
              <w:spacing w:line="360" w:lineRule="auto"/>
              <w:jc w:val="left"/>
              <w:rPr>
                <w:rFonts w:ascii="宋体" w:hAnsi="宋体" w:cs="宋体"/>
                <w:szCs w:val="21"/>
              </w:rPr>
            </w:pPr>
            <w:r>
              <w:rPr>
                <w:rFonts w:hint="eastAsia" w:ascii="宋体" w:hAnsi="宋体" w:cs="宋体"/>
                <w:sz w:val="24"/>
              </w:rPr>
              <w:t>☑</w:t>
            </w:r>
            <w:r>
              <w:rPr>
                <w:rFonts w:hint="eastAsia" w:ascii="宋体" w:hAnsi="宋体" w:cs="宋体"/>
                <w:szCs w:val="21"/>
              </w:rPr>
              <w:t>要求提供，数额为包1：6000（人民币）元 ；包2:8000（人民币）元。</w:t>
            </w:r>
          </w:p>
          <w:p>
            <w:pPr>
              <w:adjustRightInd w:val="0"/>
              <w:snapToGrid w:val="0"/>
              <w:spacing w:line="360" w:lineRule="auto"/>
              <w:ind w:firstLine="210" w:firstLineChars="100"/>
              <w:jc w:val="left"/>
              <w:rPr>
                <w:rFonts w:ascii="宋体" w:hAnsi="宋体" w:cs="宋体"/>
                <w:szCs w:val="21"/>
              </w:rPr>
            </w:pPr>
            <w:r>
              <w:rPr>
                <w:rFonts w:hint="eastAsia" w:ascii="宋体" w:hAnsi="宋体" w:cs="宋体"/>
                <w:szCs w:val="21"/>
              </w:rPr>
              <w:t>缴纳方式：</w:t>
            </w:r>
          </w:p>
          <w:p>
            <w:pPr>
              <w:numPr>
                <w:ilvl w:val="0"/>
                <w:numId w:val="1"/>
              </w:numPr>
              <w:adjustRightInd w:val="0"/>
              <w:snapToGrid w:val="0"/>
              <w:spacing w:line="360" w:lineRule="auto"/>
              <w:jc w:val="left"/>
              <w:rPr>
                <w:rFonts w:ascii="宋体" w:hAnsi="宋体" w:cs="宋体"/>
                <w:szCs w:val="21"/>
                <w:u w:val="single"/>
              </w:rPr>
            </w:pPr>
            <w:r>
              <w:rPr>
                <w:rFonts w:hint="eastAsia" w:ascii="宋体" w:hAnsi="宋体" w:cs="宋体"/>
                <w:szCs w:val="21"/>
              </w:rPr>
              <w:t>金融机构转账的，须从投标人基本账户以支票、汇票、本票等形式缴入到如下账户，并且在2020 年 11月 26日 11时30分（北京时间）之前到账，以到账为准。</w:t>
            </w:r>
          </w:p>
          <w:p>
            <w:pPr>
              <w:adjustRightInd w:val="0"/>
              <w:snapToGrid w:val="0"/>
              <w:spacing w:line="360" w:lineRule="auto"/>
              <w:ind w:firstLine="210" w:firstLineChars="100"/>
              <w:jc w:val="left"/>
              <w:rPr>
                <w:rFonts w:ascii="宋体" w:hAnsi="宋体" w:cs="宋体"/>
                <w:b/>
                <w:bCs/>
                <w:szCs w:val="21"/>
              </w:rPr>
            </w:pPr>
            <w:r>
              <w:rPr>
                <w:rFonts w:hint="eastAsia" w:ascii="宋体" w:hAnsi="宋体" w:cs="宋体"/>
                <w:szCs w:val="21"/>
              </w:rPr>
              <w:t>投标人在进账单用途栏或备注栏中注明</w:t>
            </w:r>
            <w:r>
              <w:rPr>
                <w:rFonts w:hint="eastAsia" w:ascii="宋体" w:hAnsi="宋体" w:cs="宋体"/>
                <w:b/>
                <w:bCs/>
                <w:szCs w:val="21"/>
              </w:rPr>
              <w:t>“水利厅眼科设备”。</w:t>
            </w:r>
          </w:p>
          <w:p>
            <w:pPr>
              <w:adjustRightInd w:val="0"/>
              <w:snapToGrid w:val="0"/>
              <w:spacing w:line="360" w:lineRule="auto"/>
              <w:jc w:val="left"/>
              <w:rPr>
                <w:rFonts w:ascii="宋体" w:hAnsi="宋体" w:cs="宋体"/>
                <w:b/>
                <w:szCs w:val="21"/>
              </w:rPr>
            </w:pPr>
            <w:r>
              <w:rPr>
                <w:rFonts w:hint="eastAsia" w:ascii="宋体" w:hAnsi="宋体" w:cs="宋体"/>
                <w:b/>
                <w:szCs w:val="21"/>
              </w:rPr>
              <w:t>开户名称：湖南中泉项目管理有限公司</w:t>
            </w:r>
          </w:p>
          <w:p>
            <w:pPr>
              <w:adjustRightInd w:val="0"/>
              <w:snapToGrid w:val="0"/>
              <w:spacing w:line="360" w:lineRule="auto"/>
              <w:jc w:val="left"/>
              <w:rPr>
                <w:rFonts w:ascii="宋体" w:hAnsi="宋体" w:cs="宋体"/>
                <w:b/>
                <w:szCs w:val="21"/>
              </w:rPr>
            </w:pPr>
            <w:r>
              <w:rPr>
                <w:rFonts w:hint="eastAsia" w:ascii="宋体" w:hAnsi="宋体" w:cs="宋体"/>
                <w:b/>
                <w:szCs w:val="21"/>
              </w:rPr>
              <w:t>开 户 行：810000186662000001</w:t>
            </w:r>
          </w:p>
          <w:p>
            <w:pPr>
              <w:adjustRightInd w:val="0"/>
              <w:snapToGrid w:val="0"/>
              <w:spacing w:line="360" w:lineRule="auto"/>
              <w:jc w:val="left"/>
              <w:rPr>
                <w:rFonts w:ascii="宋体" w:hAnsi="宋体" w:cs="宋体"/>
                <w:b/>
                <w:szCs w:val="21"/>
              </w:rPr>
            </w:pPr>
            <w:r>
              <w:rPr>
                <w:rFonts w:hint="eastAsia" w:ascii="宋体" w:hAnsi="宋体" w:cs="宋体"/>
                <w:b/>
                <w:szCs w:val="21"/>
              </w:rPr>
              <w:t>银行账号：长沙银行股份有限公司天心支行</w:t>
            </w:r>
          </w:p>
          <w:p>
            <w:pPr>
              <w:adjustRightInd w:val="0"/>
              <w:snapToGrid w:val="0"/>
              <w:spacing w:line="360" w:lineRule="auto"/>
              <w:jc w:val="left"/>
              <w:rPr>
                <w:rFonts w:ascii="宋体" w:hAnsi="宋体" w:cs="宋体"/>
                <w:szCs w:val="21"/>
              </w:rPr>
            </w:pPr>
            <w:r>
              <w:rPr>
                <w:rFonts w:hint="eastAsia" w:ascii="宋体" w:hAnsi="宋体" w:cs="宋体"/>
                <w:szCs w:val="21"/>
              </w:rPr>
              <w:t>（2）金融机构、担保机构出具的保函形式的，</w:t>
            </w:r>
          </w:p>
          <w:p>
            <w:pPr>
              <w:adjustRightInd w:val="0"/>
              <w:snapToGrid w:val="0"/>
              <w:spacing w:line="360" w:lineRule="auto"/>
              <w:ind w:firstLine="210" w:firstLineChars="100"/>
              <w:jc w:val="left"/>
              <w:rPr>
                <w:rFonts w:ascii="宋体" w:hAnsi="宋体" w:cs="宋体"/>
                <w:szCs w:val="21"/>
              </w:rPr>
            </w:pPr>
            <w:r>
              <w:rPr>
                <w:rFonts w:hint="eastAsia" w:ascii="宋体" w:hAnsi="宋体" w:cs="宋体"/>
                <w:szCs w:val="21"/>
              </w:rPr>
              <w:t>1）采用金融机构出具的保函形式的，保函必须由投标人基本账户开户行或授信银行出具。并随保函提供基本账户开户许可证或授信协议书复印件并加盖投标人单位章；</w:t>
            </w:r>
          </w:p>
          <w:p>
            <w:pPr>
              <w:adjustRightInd w:val="0"/>
              <w:snapToGrid w:val="0"/>
              <w:spacing w:line="360" w:lineRule="auto"/>
              <w:ind w:firstLine="210" w:firstLineChars="100"/>
              <w:jc w:val="left"/>
              <w:rPr>
                <w:rFonts w:ascii="宋体" w:hAnsi="宋体" w:cs="宋体"/>
                <w:szCs w:val="21"/>
              </w:rPr>
            </w:pPr>
            <w:r>
              <w:rPr>
                <w:rFonts w:hint="eastAsia" w:ascii="宋体" w:hAnsi="宋体" w:cs="宋体"/>
                <w:szCs w:val="21"/>
              </w:rPr>
              <w:t>2）采用担保机构出具的保函形式的，担保机构必须属于《湖南省政府采购信用担保试点工作的信用担保机构名单》内机构(可查询中国湖南省政府采购网相关栏目)。</w:t>
            </w:r>
          </w:p>
          <w:p>
            <w:pPr>
              <w:adjustRightInd w:val="0"/>
              <w:snapToGrid w:val="0"/>
              <w:spacing w:line="360" w:lineRule="auto"/>
              <w:ind w:firstLine="210" w:firstLineChars="100"/>
              <w:jc w:val="left"/>
              <w:rPr>
                <w:rFonts w:ascii="宋体" w:hAnsi="宋体" w:cs="宋体"/>
                <w:szCs w:val="21"/>
              </w:rPr>
            </w:pPr>
            <w:r>
              <w:rPr>
                <w:rFonts w:hint="eastAsia" w:ascii="宋体" w:hAnsi="宋体" w:cs="宋体"/>
                <w:szCs w:val="21"/>
              </w:rPr>
              <w:t>3）保函格式为见索即付保函，不得设置兑取条件。</w:t>
            </w:r>
          </w:p>
          <w:p>
            <w:pPr>
              <w:adjustRightInd w:val="0"/>
              <w:snapToGrid w:val="0"/>
              <w:spacing w:line="360" w:lineRule="auto"/>
              <w:jc w:val="left"/>
              <w:rPr>
                <w:rFonts w:ascii="宋体" w:hAnsi="宋体"/>
                <w:szCs w:val="21"/>
              </w:rPr>
            </w:pPr>
            <w:r>
              <w:rPr>
                <w:rFonts w:hint="eastAsia" w:asciiTheme="minorEastAsia" w:hAnsiTheme="minorEastAsia" w:eastAsiaTheme="minorEastAsia"/>
                <w:szCs w:val="21"/>
              </w:rPr>
              <w:t>未按照招标文件要求提交投标保证金的，将视为无效投标。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第12.1款</w:t>
            </w:r>
          </w:p>
        </w:tc>
        <w:tc>
          <w:tcPr>
            <w:tcW w:w="1701" w:type="dxa"/>
            <w:vAlign w:val="center"/>
          </w:tcPr>
          <w:p>
            <w:pPr>
              <w:adjustRightInd w:val="0"/>
              <w:snapToGrid w:val="0"/>
              <w:spacing w:before="50" w:line="360" w:lineRule="auto"/>
              <w:rPr>
                <w:rFonts w:ascii="宋体" w:hAnsi="宋体"/>
                <w:bCs/>
                <w:szCs w:val="21"/>
              </w:rPr>
            </w:pPr>
            <w:r>
              <w:rPr>
                <w:rFonts w:hint="eastAsia" w:ascii="宋体" w:hAnsi="宋体"/>
                <w:bCs/>
                <w:szCs w:val="21"/>
              </w:rPr>
              <w:t>响应文件有效期</w:t>
            </w:r>
          </w:p>
        </w:tc>
        <w:tc>
          <w:tcPr>
            <w:tcW w:w="5929" w:type="dxa"/>
            <w:vAlign w:val="center"/>
          </w:tcPr>
          <w:p>
            <w:pPr>
              <w:adjustRightInd w:val="0"/>
              <w:snapToGrid w:val="0"/>
              <w:spacing w:before="50" w:line="360" w:lineRule="auto"/>
              <w:rPr>
                <w:rFonts w:ascii="宋体" w:hAnsi="宋体"/>
                <w:bCs/>
                <w:szCs w:val="21"/>
              </w:rPr>
            </w:pPr>
            <w:r>
              <w:rPr>
                <w:rFonts w:hint="eastAsia" w:asciiTheme="minorEastAsia" w:hAnsiTheme="minorEastAsia" w:eastAsiaTheme="minorEastAsia"/>
                <w:bCs/>
                <w:szCs w:val="21"/>
                <w:u w:val="single"/>
              </w:rPr>
              <w:t xml:space="preserve"> 90 </w:t>
            </w:r>
            <w:r>
              <w:rPr>
                <w:rFonts w:hint="eastAsia" w:asciiTheme="minorEastAsia" w:hAnsiTheme="minorEastAsia" w:eastAsiaTheme="minorEastAsia"/>
                <w:bCs/>
                <w:szCs w:val="21"/>
              </w:rPr>
              <w:t>日（日历日），如投标有效期不足的，在评标时将视为无效投标。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第13.1款</w:t>
            </w:r>
          </w:p>
        </w:tc>
        <w:tc>
          <w:tcPr>
            <w:tcW w:w="1701" w:type="dxa"/>
            <w:vAlign w:val="center"/>
          </w:tcPr>
          <w:p>
            <w:pPr>
              <w:adjustRightInd w:val="0"/>
              <w:snapToGrid w:val="0"/>
              <w:spacing w:before="50" w:line="360" w:lineRule="auto"/>
              <w:rPr>
                <w:rFonts w:ascii="宋体" w:hAnsi="宋体"/>
                <w:bCs/>
                <w:szCs w:val="21"/>
              </w:rPr>
            </w:pPr>
            <w:r>
              <w:rPr>
                <w:rFonts w:hint="eastAsia" w:ascii="宋体" w:hAnsi="宋体"/>
                <w:bCs/>
                <w:szCs w:val="21"/>
              </w:rPr>
              <w:t>分包</w:t>
            </w:r>
          </w:p>
        </w:tc>
        <w:tc>
          <w:tcPr>
            <w:tcW w:w="5929" w:type="dxa"/>
            <w:vAlign w:val="center"/>
          </w:tcPr>
          <w:p>
            <w:pPr>
              <w:adjustRightInd w:val="0"/>
              <w:snapToGrid w:val="0"/>
              <w:spacing w:before="50" w:line="360" w:lineRule="auto"/>
              <w:rPr>
                <w:rFonts w:ascii="宋体" w:hAnsi="宋体"/>
                <w:bCs/>
                <w:szCs w:val="21"/>
              </w:rPr>
            </w:pPr>
            <w:r>
              <w:rPr>
                <w:rFonts w:hint="eastAsia" w:asciiTheme="minorEastAsia" w:hAnsiTheme="minorEastAsia" w:eastAsiaTheme="minorEastAsia"/>
                <w:szCs w:val="21"/>
              </w:rPr>
              <w:t>中标人不允许将本项目进行分包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第14.2款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bCs/>
                <w:szCs w:val="21"/>
              </w:rPr>
              <w:t>响应</w:t>
            </w:r>
            <w:r>
              <w:rPr>
                <w:rFonts w:hint="eastAsia" w:ascii="宋体" w:hAnsi="宋体"/>
                <w:szCs w:val="21"/>
              </w:rPr>
              <w:t>文件份数</w:t>
            </w:r>
          </w:p>
        </w:tc>
        <w:tc>
          <w:tcPr>
            <w:tcW w:w="5929" w:type="dxa"/>
            <w:vAlign w:val="center"/>
          </w:tcPr>
          <w:p>
            <w:pPr>
              <w:adjustRightInd w:val="0"/>
              <w:snapToGrid w:val="0"/>
              <w:spacing w:before="50" w:line="360" w:lineRule="auto"/>
              <w:rPr>
                <w:rFonts w:ascii="宋体" w:hAnsi="宋体"/>
                <w:szCs w:val="21"/>
                <w:u w:val="single"/>
              </w:rPr>
            </w:pPr>
            <w:r>
              <w:rPr>
                <w:rFonts w:hint="eastAsia"/>
                <w:szCs w:val="21"/>
              </w:rPr>
              <w:t>正本一份，副本二份，另需提供二份响应文件电子文档（</w:t>
            </w:r>
            <w:r>
              <w:rPr>
                <w:rFonts w:hint="eastAsia" w:hAnsi="宋体"/>
              </w:rPr>
              <w:t>U盘或光盘形式，</w:t>
            </w:r>
            <w:r>
              <w:rPr>
                <w:rFonts w:hint="eastAsia"/>
                <w:szCs w:val="21"/>
              </w:rPr>
              <w:t>须为正本扫描件，PDF格式，</w:t>
            </w:r>
            <w:r>
              <w:rPr>
                <w:rFonts w:hint="eastAsia" w:ascii="宋体" w:hAnsi="宋体"/>
                <w:szCs w:val="21"/>
              </w:rPr>
              <w:t>内容与纸质</w:t>
            </w:r>
            <w:r>
              <w:rPr>
                <w:rFonts w:hint="eastAsia" w:hAnsi="宋体"/>
              </w:rPr>
              <w:t>响应文件</w:t>
            </w:r>
            <w:r>
              <w:rPr>
                <w:rFonts w:hint="eastAsia" w:ascii="宋体" w:hAnsi="宋体"/>
                <w:szCs w:val="21"/>
              </w:rPr>
              <w:t>正本一致，</w:t>
            </w:r>
            <w:r>
              <w:rPr>
                <w:rFonts w:hint="eastAsia"/>
                <w:szCs w:val="21"/>
              </w:rPr>
              <w:t>标明公司名称）随纸质文件一并密封提交。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pPr>
              <w:adjustRightInd w:val="0"/>
              <w:snapToGrid w:val="0"/>
              <w:spacing w:before="50" w:line="360" w:lineRule="auto"/>
              <w:rPr>
                <w:rFonts w:ascii="宋体" w:hAns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1"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第15.2款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封套上应载明的信息</w:t>
            </w:r>
          </w:p>
        </w:tc>
        <w:tc>
          <w:tcPr>
            <w:tcW w:w="5929" w:type="dxa"/>
            <w:vAlign w:val="center"/>
          </w:tcPr>
          <w:p>
            <w:pPr>
              <w:spacing w:line="400" w:lineRule="atLeast"/>
            </w:pPr>
            <w:r>
              <w:rPr>
                <w:rFonts w:hint="eastAsia" w:ascii="宋体" w:hAnsi="宋体" w:cs="宋体"/>
                <w:szCs w:val="21"/>
              </w:rPr>
              <w:t>（</w:t>
            </w:r>
            <w:r>
              <w:rPr>
                <w:rFonts w:ascii="宋体" w:hAnsi="宋体" w:cs="宋体"/>
                <w:szCs w:val="21"/>
              </w:rPr>
              <w:t>项目名称) 响应文件</w:t>
            </w:r>
            <w:r>
              <w:rPr>
                <w:rFonts w:hint="eastAsia" w:ascii="宋体" w:hAnsi="宋体" w:cs="宋体"/>
                <w:szCs w:val="21"/>
              </w:rPr>
              <w:t>号</w:t>
            </w:r>
            <w:r>
              <w:rPr>
                <w:rFonts w:ascii="宋体" w:hAnsi="宋体" w:cs="宋体"/>
                <w:szCs w:val="21"/>
              </w:rPr>
              <w:t> </w:t>
            </w:r>
          </w:p>
          <w:p>
            <w:pPr>
              <w:spacing w:line="400" w:lineRule="atLeast"/>
            </w:pPr>
            <w:r>
              <w:rPr>
                <w:rFonts w:ascii="宋体" w:hAnsi="宋体" w:cs="宋体"/>
                <w:szCs w:val="21"/>
              </w:rPr>
              <w:t>政府采购编号：</w:t>
            </w:r>
          </w:p>
          <w:p>
            <w:pPr>
              <w:spacing w:line="400" w:lineRule="atLeast"/>
            </w:pPr>
            <w:r>
              <w:rPr>
                <w:rFonts w:ascii="宋体" w:hAnsi="宋体" w:cs="宋体"/>
                <w:szCs w:val="21"/>
              </w:rPr>
              <w:t>委托代理编号：  </w:t>
            </w:r>
          </w:p>
          <w:p>
            <w:pPr>
              <w:spacing w:line="400" w:lineRule="atLeast"/>
            </w:pPr>
            <w:r>
              <w:rPr>
                <w:rFonts w:ascii="宋体" w:hAnsi="宋体" w:cs="宋体"/>
                <w:szCs w:val="21"/>
              </w:rPr>
              <w:t>包或品目名：      </w:t>
            </w:r>
          </w:p>
          <w:p>
            <w:pPr>
              <w:adjustRightInd w:val="0"/>
              <w:snapToGrid w:val="0"/>
              <w:spacing w:beforeLines="50" w:line="360" w:lineRule="auto"/>
              <w:rPr>
                <w:rFonts w:ascii="宋体" w:hAnsi="宋体"/>
                <w:szCs w:val="21"/>
              </w:rPr>
            </w:pPr>
            <w:r>
              <w:rPr>
                <w:rFonts w:ascii="宋体" w:hAnsi="宋体" w:cs="宋体"/>
                <w:szCs w:val="21"/>
              </w:rPr>
              <w:t>在</w:t>
            </w:r>
            <w:r>
              <w:rPr>
                <w:rFonts w:hint="eastAsia" w:ascii="宋体" w:hAnsi="宋体" w:cs="宋体"/>
                <w:szCs w:val="21"/>
              </w:rPr>
              <w:t>2020</w:t>
            </w:r>
            <w:r>
              <w:rPr>
                <w:rFonts w:ascii="宋体" w:hAnsi="宋体" w:cs="宋体"/>
                <w:szCs w:val="21"/>
              </w:rPr>
              <w:t>年</w:t>
            </w:r>
            <w:r>
              <w:rPr>
                <w:rFonts w:hint="eastAsia" w:ascii="宋体" w:hAnsi="宋体" w:cs="宋体"/>
                <w:szCs w:val="21"/>
              </w:rPr>
              <w:t>11</w:t>
            </w:r>
            <w:r>
              <w:rPr>
                <w:rFonts w:ascii="宋体" w:hAnsi="宋体" w:cs="宋体"/>
                <w:szCs w:val="21"/>
              </w:rPr>
              <w:t>月</w:t>
            </w:r>
            <w:r>
              <w:rPr>
                <w:rFonts w:hint="eastAsia" w:ascii="宋体" w:hAnsi="宋体" w:cs="宋体"/>
                <w:szCs w:val="21"/>
              </w:rPr>
              <w:t>26</w:t>
            </w:r>
            <w:r>
              <w:rPr>
                <w:rFonts w:ascii="宋体" w:hAnsi="宋体" w:cs="宋体"/>
                <w:szCs w:val="21"/>
              </w:rPr>
              <w:t>日</w:t>
            </w:r>
            <w:r>
              <w:rPr>
                <w:rFonts w:hint="eastAsia" w:ascii="宋体" w:hAnsi="宋体" w:cs="宋体"/>
                <w:szCs w:val="21"/>
              </w:rPr>
              <w:t>11时30</w:t>
            </w:r>
            <w:r>
              <w:rPr>
                <w:rFonts w:ascii="宋体" w:hAnsi="宋体" w:cs="宋体"/>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第17.1款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响应文件的递交</w:t>
            </w:r>
            <w:r>
              <w:rPr>
                <w:rFonts w:hint="eastAsia" w:ascii="宋体" w:hAnsi="宋体"/>
                <w:bCs/>
                <w:szCs w:val="21"/>
              </w:rPr>
              <w:t>时间和</w:t>
            </w:r>
            <w:r>
              <w:rPr>
                <w:rFonts w:hint="eastAsia" w:ascii="宋体" w:hAnsi="宋体"/>
                <w:szCs w:val="21"/>
              </w:rPr>
              <w:t>地点</w:t>
            </w:r>
          </w:p>
        </w:tc>
        <w:tc>
          <w:tcPr>
            <w:tcW w:w="5929" w:type="dxa"/>
            <w:vAlign w:val="center"/>
          </w:tcPr>
          <w:p>
            <w:pPr>
              <w:adjustRightInd w:val="0"/>
              <w:snapToGrid w:val="0"/>
              <w:spacing w:before="50" w:line="360" w:lineRule="auto"/>
              <w:rPr>
                <w:rFonts w:ascii="宋体" w:hAnsi="宋体"/>
                <w:szCs w:val="21"/>
              </w:rPr>
            </w:pPr>
            <w:r>
              <w:rPr>
                <w:rFonts w:hint="eastAsia" w:ascii="宋体" w:hAnsi="宋体"/>
                <w:szCs w:val="21"/>
              </w:rPr>
              <w:t>响应文件递交时间：2020年11 月26 日11 时 30分（北京时间）</w:t>
            </w:r>
          </w:p>
          <w:p>
            <w:pPr>
              <w:adjustRightInd w:val="0"/>
              <w:snapToGrid w:val="0"/>
              <w:spacing w:before="50" w:line="360" w:lineRule="auto"/>
              <w:rPr>
                <w:rFonts w:ascii="宋体" w:hAnsi="宋体"/>
                <w:b/>
                <w:bCs/>
                <w:szCs w:val="21"/>
              </w:rPr>
            </w:pPr>
            <w:r>
              <w:rPr>
                <w:rFonts w:hint="eastAsia" w:ascii="宋体" w:hAnsi="宋体"/>
                <w:szCs w:val="21"/>
              </w:rPr>
              <w:t>地点：</w:t>
            </w:r>
            <w:r>
              <w:rPr>
                <w:rFonts w:hint="eastAsia" w:ascii="宋体" w:hAnsi="宋体" w:cs="宋体"/>
                <w:szCs w:val="21"/>
              </w:rPr>
              <w:t>湖南中泉项目管理有限公司（长沙市天心区芙蓉南路星城荣域C座8楼）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bCs/>
                <w:szCs w:val="21"/>
              </w:rPr>
            </w:pPr>
            <w:r>
              <w:rPr>
                <w:rFonts w:hint="eastAsia" w:ascii="宋体" w:hAnsi="宋体"/>
                <w:b/>
                <w:bCs/>
                <w:szCs w:val="21"/>
              </w:rPr>
              <w:t>五、响应文件的评审与谈判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第21.4款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谈判文件规定的实质性要求和条件</w:t>
            </w:r>
          </w:p>
        </w:tc>
        <w:tc>
          <w:tcPr>
            <w:tcW w:w="5929" w:type="dxa"/>
            <w:vAlign w:val="center"/>
          </w:tcPr>
          <w:p>
            <w:pPr>
              <w:adjustRightInd w:val="0"/>
              <w:snapToGrid w:val="0"/>
              <w:spacing w:before="50" w:line="360" w:lineRule="auto"/>
              <w:rPr>
                <w:rFonts w:ascii="宋体" w:hAnsi="宋体"/>
                <w:b/>
                <w:bCs/>
                <w:szCs w:val="21"/>
              </w:rPr>
            </w:pPr>
            <w:r>
              <w:rPr>
                <w:rFonts w:ascii="宋体" w:hAnsi="宋体" w:cs="宋体"/>
                <w:color w:val="000000" w:themeColor="text1"/>
                <w:szCs w:val="21"/>
              </w:rPr>
              <w:t>响应文件(包括首次响应文件、重新提交的响应文件)与谈判文件要求的所有条款、条件和规格相符，没有偏离。</w:t>
            </w:r>
            <w:r>
              <w:rPr>
                <w:rFonts w:hint="eastAsia" w:ascii="宋体" w:hAnsi="宋体" w:cs="宋体"/>
                <w:color w:val="000000" w:themeColor="text1"/>
                <w:szCs w:val="21"/>
              </w:rPr>
              <w:t>否则为无效投标。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第27.2款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bCs/>
                <w:szCs w:val="21"/>
              </w:rPr>
              <w:t>最后报价的算术修正</w:t>
            </w:r>
          </w:p>
        </w:tc>
        <w:tc>
          <w:tcPr>
            <w:tcW w:w="5929" w:type="dxa"/>
            <w:vAlign w:val="center"/>
          </w:tcPr>
          <w:p>
            <w:pPr>
              <w:adjustRightInd w:val="0"/>
              <w:snapToGrid w:val="0"/>
              <w:spacing w:beforeLines="50"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（1）大写金额与小写金额不一致的，以大写金额为准。</w:t>
            </w:r>
          </w:p>
          <w:p>
            <w:pPr>
              <w:adjustRightInd w:val="0"/>
              <w:snapToGrid w:val="0"/>
              <w:spacing w:beforeLines="50" w:line="360" w:lineRule="auto"/>
              <w:jc w:val="left"/>
              <w:rPr>
                <w:rFonts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（2）总价金额与按单价汇总金额不一致的，以单价金额计算结果为准。</w:t>
            </w:r>
          </w:p>
          <w:p>
            <w:pPr>
              <w:adjustRightInd w:val="0"/>
              <w:snapToGrid w:val="0"/>
              <w:spacing w:beforeLines="50" w:line="360" w:lineRule="auto"/>
              <w:jc w:val="left"/>
              <w:rPr>
                <w:rFonts w:ascii="宋体" w:hAnsi="宋体"/>
                <w:b/>
                <w:bCs/>
                <w:color w:val="000000" w:themeColor="text1"/>
                <w:szCs w:val="21"/>
              </w:rPr>
            </w:pPr>
            <w:r>
              <w:rPr>
                <w:rFonts w:hint="eastAsia" w:asciiTheme="minorEastAsia" w:hAnsiTheme="minorEastAsia" w:eastAsiaTheme="minorEastAsia"/>
                <w:color w:val="000000" w:themeColor="text1"/>
                <w:szCs w:val="21"/>
              </w:rPr>
              <w:t>修正后的报价由供应商代表签字或者加盖单位公章确认后产生约束力，不确认的，其报价无效。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pPr>
              <w:adjustRightInd w:val="0"/>
              <w:snapToGrid w:val="0"/>
              <w:spacing w:before="50" w:line="360" w:lineRule="auto"/>
              <w:rPr>
                <w:rFonts w:ascii="宋体" w:hAns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第33.1款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财政部门指定的媒体</w:t>
            </w:r>
          </w:p>
        </w:tc>
        <w:tc>
          <w:tcPr>
            <w:tcW w:w="5929" w:type="dxa"/>
            <w:vAlign w:val="center"/>
          </w:tcPr>
          <w:p>
            <w:pPr>
              <w:adjustRightInd w:val="0"/>
              <w:snapToGrid w:val="0"/>
              <w:spacing w:before="50" w:line="360" w:lineRule="auto"/>
              <w:rPr>
                <w:rFonts w:ascii="宋体" w:hAnsi="宋体" w:cs="宋体"/>
                <w:szCs w:val="21"/>
              </w:rPr>
            </w:pPr>
            <w:r>
              <w:rPr>
                <w:rFonts w:ascii="宋体" w:hAnsi="宋体" w:cs="宋体"/>
                <w:szCs w:val="21"/>
              </w:rPr>
              <w:t>中国·湖南政府采购网</w:t>
            </w:r>
          </w:p>
          <w:p>
            <w:pPr>
              <w:adjustRightInd w:val="0"/>
              <w:snapToGrid w:val="0"/>
              <w:spacing w:before="50" w:line="360" w:lineRule="auto"/>
              <w:rPr>
                <w:rFonts w:ascii="宋体" w:hAnsi="宋体"/>
                <w:szCs w:val="21"/>
                <w:u w:val="single"/>
              </w:rPr>
            </w:pPr>
            <w:r>
              <w:rPr>
                <w:rFonts w:ascii="宋体" w:hAnsi="宋体" w:cs="宋体"/>
                <w:szCs w:val="21"/>
              </w:rPr>
              <w:t>(www.ccgp-hunan.gov.cn)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第35.3款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履约担保</w:t>
            </w:r>
          </w:p>
        </w:tc>
        <w:tc>
          <w:tcPr>
            <w:tcW w:w="5929" w:type="dxa"/>
            <w:vAlign w:val="center"/>
          </w:tcPr>
          <w:p>
            <w:pPr>
              <w:adjustRightInd w:val="0"/>
              <w:snapToGrid w:val="0"/>
              <w:spacing w:before="50" w:line="360" w:lineRule="auto"/>
              <w:rPr>
                <w:rFonts w:ascii="宋体" w:hAnsi="宋体"/>
                <w:szCs w:val="21"/>
              </w:rPr>
            </w:pPr>
            <w:r>
              <w:rPr>
                <w:rFonts w:hint="eastAsia" w:ascii="宋体" w:hAnsi="宋体" w:cs="宋体"/>
                <w:szCs w:val="21"/>
              </w:rPr>
              <w:t>不要求提供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七、政府采购政策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7" w:hRule="atLeast"/>
          <w:jc w:val="center"/>
        </w:trPr>
        <w:tc>
          <w:tcPr>
            <w:tcW w:w="1622" w:type="dxa"/>
            <w:vMerge w:val="restart"/>
            <w:vAlign w:val="center"/>
          </w:tcPr>
          <w:p>
            <w:pPr>
              <w:adjustRightInd w:val="0"/>
              <w:snapToGrid w:val="0"/>
              <w:spacing w:before="50" w:line="360" w:lineRule="auto"/>
              <w:jc w:val="center"/>
              <w:rPr>
                <w:rFonts w:ascii="宋体" w:hAnsi="宋体"/>
                <w:szCs w:val="21"/>
              </w:rPr>
            </w:pPr>
            <w:r>
              <w:rPr>
                <w:rFonts w:hint="eastAsia" w:ascii="宋体" w:hAnsi="宋体"/>
                <w:szCs w:val="21"/>
              </w:rPr>
              <w:t>第37.2（1）项</w:t>
            </w:r>
          </w:p>
        </w:tc>
        <w:tc>
          <w:tcPr>
            <w:tcW w:w="1701" w:type="dxa"/>
            <w:tcBorders>
              <w:bottom w:val="single" w:color="auto" w:sz="4" w:space="0"/>
            </w:tcBorders>
          </w:tcPr>
          <w:p>
            <w:r>
              <w:rPr>
                <w:rFonts w:hint="eastAsia"/>
              </w:rPr>
              <w:t>节能产品</w:t>
            </w:r>
            <w:r>
              <w:rPr>
                <w:rFonts w:hint="eastAsia" w:ascii="宋体" w:hAnsi="宋体"/>
                <w:szCs w:val="21"/>
              </w:rPr>
              <w:t>的价格折扣比例</w:t>
            </w:r>
          </w:p>
        </w:tc>
        <w:tc>
          <w:tcPr>
            <w:tcW w:w="5929" w:type="dxa"/>
            <w:tcBorders>
              <w:bottom w:val="single" w:color="auto" w:sz="4" w:space="0"/>
            </w:tcBorders>
            <w:vAlign w:val="center"/>
          </w:tcPr>
          <w:p>
            <w:pPr>
              <w:numPr>
                <w:ilvl w:val="0"/>
                <w:numId w:val="2"/>
              </w:numPr>
              <w:adjustRightInd w:val="0"/>
              <w:snapToGrid w:val="0"/>
              <w:spacing w:before="50" w:line="360" w:lineRule="auto"/>
              <w:rPr>
                <w:rFonts w:ascii="宋体" w:hAnsi="宋体" w:cs="宋体"/>
                <w:szCs w:val="21"/>
              </w:rPr>
            </w:pPr>
            <w:r>
              <w:rPr>
                <w:rFonts w:ascii="宋体" w:hAnsi="宋体" w:cs="宋体"/>
                <w:szCs w:val="21"/>
              </w:rPr>
              <w:t>采购产品若属</w:t>
            </w:r>
            <w:r>
              <w:rPr>
                <w:rFonts w:hint="eastAsia" w:ascii="宋体" w:cs="宋体"/>
                <w:b/>
                <w:bCs/>
                <w:iCs/>
                <w:szCs w:val="21"/>
              </w:rPr>
              <w:t>《节能产品政府采购品目清单》</w:t>
            </w:r>
            <w:r>
              <w:rPr>
                <w:rFonts w:ascii="宋体" w:hAnsi="宋体" w:cs="宋体"/>
                <w:szCs w:val="21"/>
              </w:rPr>
              <w:t>内的，除财政部另有规定外，标记★符号产品为政府强制采购节能产品，不能提供其他产品参加政府采购活动，否则将被拒绝。</w:t>
            </w:r>
            <w:r>
              <w:rPr>
                <w:rFonts w:hint="eastAsia" w:ascii="宋体" w:cs="宋体"/>
                <w:b/>
                <w:bCs/>
                <w:iCs/>
                <w:szCs w:val="21"/>
              </w:rPr>
              <w:t>《节能产品政府采购品目清单》</w:t>
            </w:r>
            <w:r>
              <w:rPr>
                <w:rFonts w:ascii="宋体" w:hAnsi="宋体" w:cs="宋体"/>
                <w:szCs w:val="21"/>
              </w:rPr>
              <w:t>中非标记★符号节能产品按政府采购优先采购规定处理。</w:t>
            </w:r>
          </w:p>
          <w:p>
            <w:pPr>
              <w:adjustRightInd w:val="0"/>
              <w:snapToGrid w:val="0"/>
              <w:spacing w:line="360" w:lineRule="auto"/>
              <w:rPr>
                <w:rFonts w:ascii="宋体" w:hAnsi="宋体" w:cs="宋体"/>
                <w:color w:val="000000"/>
                <w:szCs w:val="21"/>
              </w:rPr>
            </w:pPr>
            <w:r>
              <w:rPr>
                <w:rFonts w:hint="eastAsia" w:ascii="宋体" w:hAnsi="宋体" w:cs="宋体"/>
                <w:color w:val="000000"/>
                <w:szCs w:val="21"/>
              </w:rPr>
              <w:t>供</w:t>
            </w:r>
            <w:r>
              <w:rPr>
                <w:rFonts w:hint="eastAsia" w:ascii="宋体" w:hAnsi="宋体" w:cs="宋体"/>
                <w:szCs w:val="21"/>
              </w:rPr>
              <w:t>应商提供的产品属</w:t>
            </w:r>
            <w:r>
              <w:rPr>
                <w:rFonts w:hint="eastAsia" w:ascii="宋体" w:cs="宋体"/>
                <w:b/>
                <w:bCs/>
                <w:iCs/>
                <w:szCs w:val="21"/>
              </w:rPr>
              <w:t>《节能产品政府采购品目清单》（财库[</w:t>
            </w:r>
            <w:r>
              <w:rPr>
                <w:rFonts w:ascii="宋体" w:cs="宋体"/>
                <w:b/>
                <w:bCs/>
                <w:iCs/>
                <w:szCs w:val="21"/>
              </w:rPr>
              <w:t>2019]19</w:t>
            </w:r>
            <w:r>
              <w:rPr>
                <w:rFonts w:hint="eastAsia" w:ascii="宋体" w:cs="宋体"/>
                <w:b/>
                <w:bCs/>
                <w:iCs/>
                <w:szCs w:val="21"/>
              </w:rPr>
              <w:t>号）</w:t>
            </w:r>
            <w:r>
              <w:rPr>
                <w:rFonts w:hint="eastAsia" w:ascii="宋体" w:hAnsi="宋体" w:cs="宋体"/>
                <w:szCs w:val="21"/>
              </w:rPr>
              <w:t>（非标记★符号节能产品），在评审时，给予该产品最后报价5%-10%的价格扣除</w:t>
            </w:r>
            <w:r>
              <w:rPr>
                <w:rFonts w:hint="eastAsia" w:ascii="宋体" w:hAnsi="宋体" w:cs="宋体"/>
                <w:color w:val="000000"/>
                <w:szCs w:val="21"/>
              </w:rPr>
              <w:t>，用扣除后的价格参与评审，本项目价格扣除比例：</w:t>
            </w:r>
          </w:p>
          <w:p>
            <w:pPr>
              <w:adjustRightInd w:val="0"/>
              <w:snapToGrid w:val="0"/>
              <w:spacing w:line="360" w:lineRule="auto"/>
              <w:rPr>
                <w:rFonts w:ascii="宋体" w:hAnsi="宋体" w:cs="宋体"/>
                <w:szCs w:val="21"/>
              </w:rPr>
            </w:pPr>
            <w:r>
              <w:rPr>
                <w:rFonts w:hint="eastAsia" w:ascii="宋体" w:hAnsi="宋体" w:cs="宋体"/>
                <w:color w:val="000000"/>
                <w:szCs w:val="21"/>
              </w:rPr>
              <w:t>“节能产品”为Z节能产品折扣＝</w:t>
            </w:r>
            <w:r>
              <w:rPr>
                <w:rFonts w:ascii="宋体" w:hAnsi="宋体" w:cs="宋体"/>
                <w:color w:val="000000"/>
                <w:szCs w:val="21"/>
                <w:u w:val="single"/>
              </w:rPr>
              <w:t xml:space="preserve"> 5 </w:t>
            </w:r>
            <w:r>
              <w:rPr>
                <w:rFonts w:hint="eastAsia" w:ascii="宋体" w:hAnsi="宋体" w:cs="宋体"/>
                <w:color w:val="0000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31" w:hRule="atLeast"/>
          <w:jc w:val="center"/>
        </w:trPr>
        <w:tc>
          <w:tcPr>
            <w:tcW w:w="1622" w:type="dxa"/>
            <w:vMerge w:val="continue"/>
            <w:vAlign w:val="center"/>
          </w:tcPr>
          <w:p>
            <w:pPr>
              <w:adjustRightInd w:val="0"/>
              <w:snapToGrid w:val="0"/>
              <w:spacing w:before="50" w:line="360" w:lineRule="auto"/>
              <w:jc w:val="center"/>
              <w:rPr>
                <w:rFonts w:ascii="宋体" w:hAnsi="宋体"/>
                <w:szCs w:val="21"/>
              </w:rPr>
            </w:pPr>
          </w:p>
        </w:tc>
        <w:tc>
          <w:tcPr>
            <w:tcW w:w="1701" w:type="dxa"/>
            <w:tcBorders>
              <w:top w:val="single" w:color="auto" w:sz="4" w:space="0"/>
            </w:tcBorders>
          </w:tcPr>
          <w:p>
            <w:r>
              <w:rPr>
                <w:rFonts w:hint="eastAsia"/>
              </w:rPr>
              <w:t>环境标志产品</w:t>
            </w:r>
            <w:r>
              <w:rPr>
                <w:rFonts w:hint="eastAsia" w:ascii="宋体" w:hAnsi="宋体"/>
                <w:szCs w:val="21"/>
              </w:rPr>
              <w:t>的价格折扣比例</w:t>
            </w:r>
          </w:p>
        </w:tc>
        <w:tc>
          <w:tcPr>
            <w:tcW w:w="5929" w:type="dxa"/>
            <w:tcBorders>
              <w:top w:val="single" w:color="auto" w:sz="4" w:space="0"/>
            </w:tcBorders>
            <w:vAlign w:val="center"/>
          </w:tcPr>
          <w:p>
            <w:pPr>
              <w:adjustRightInd w:val="0"/>
              <w:snapToGrid w:val="0"/>
              <w:spacing w:line="360" w:lineRule="auto"/>
              <w:rPr>
                <w:rFonts w:ascii="宋体" w:hAnsi="宋体" w:cs="宋体"/>
                <w:color w:val="000000"/>
                <w:szCs w:val="21"/>
              </w:rPr>
            </w:pPr>
            <w:r>
              <w:rPr>
                <w:rFonts w:hint="eastAsia" w:ascii="宋体" w:hAnsi="宋体" w:cs="宋体"/>
                <w:color w:val="000000"/>
                <w:szCs w:val="21"/>
              </w:rPr>
              <w:t>供</w:t>
            </w:r>
            <w:r>
              <w:rPr>
                <w:rFonts w:hint="eastAsia" w:ascii="宋体" w:hAnsi="宋体" w:cs="宋体"/>
                <w:szCs w:val="21"/>
              </w:rPr>
              <w:t>应商提供的产品属</w:t>
            </w:r>
            <w:r>
              <w:rPr>
                <w:rFonts w:hint="eastAsia" w:ascii="宋体" w:cs="宋体"/>
                <w:szCs w:val="21"/>
              </w:rPr>
              <w:t>《环境标志产品政府采购品目清单》</w:t>
            </w:r>
            <w:r>
              <w:rPr>
                <w:rFonts w:hint="eastAsia" w:ascii="宋体" w:cs="宋体"/>
                <w:b/>
                <w:bCs/>
                <w:iCs/>
                <w:szCs w:val="21"/>
              </w:rPr>
              <w:t>（财库[</w:t>
            </w:r>
            <w:r>
              <w:rPr>
                <w:rFonts w:ascii="宋体" w:cs="宋体"/>
                <w:b/>
                <w:bCs/>
                <w:iCs/>
                <w:szCs w:val="21"/>
              </w:rPr>
              <w:t>2019]18</w:t>
            </w:r>
            <w:r>
              <w:rPr>
                <w:rFonts w:hint="eastAsia" w:ascii="宋体" w:cs="宋体"/>
                <w:b/>
                <w:bCs/>
                <w:iCs/>
                <w:szCs w:val="21"/>
              </w:rPr>
              <w:t>号）</w:t>
            </w:r>
            <w:r>
              <w:rPr>
                <w:rFonts w:hint="eastAsia" w:ascii="宋体" w:hAnsi="宋体" w:cs="宋体"/>
                <w:szCs w:val="21"/>
              </w:rPr>
              <w:t>在评审时，给予该产品最后报价5%-10%的价格扣除</w:t>
            </w:r>
            <w:r>
              <w:rPr>
                <w:rFonts w:hint="eastAsia" w:ascii="宋体" w:hAnsi="宋体" w:cs="宋体"/>
                <w:color w:val="000000"/>
                <w:szCs w:val="21"/>
              </w:rPr>
              <w:t>，用扣除后的价格参与评审，本项目价格扣除比例：</w:t>
            </w:r>
          </w:p>
          <w:p>
            <w:pPr>
              <w:adjustRightInd w:val="0"/>
              <w:snapToGrid w:val="0"/>
              <w:spacing w:before="50" w:line="360" w:lineRule="auto"/>
              <w:rPr>
                <w:rFonts w:ascii="宋体" w:hAnsi="宋体"/>
                <w:szCs w:val="21"/>
              </w:rPr>
            </w:pPr>
            <w:r>
              <w:rPr>
                <w:rFonts w:hint="eastAsia" w:ascii="宋体" w:hAnsi="宋体" w:cs="宋体"/>
                <w:color w:val="000000"/>
                <w:szCs w:val="21"/>
              </w:rPr>
              <w:t xml:space="preserve">“环境标志产品”为Z环境标志产品折扣＝ </w:t>
            </w:r>
            <w:r>
              <w:rPr>
                <w:rFonts w:ascii="宋体" w:hAnsi="宋体" w:cs="宋体"/>
                <w:color w:val="000000"/>
                <w:szCs w:val="21"/>
                <w:u w:val="single"/>
              </w:rPr>
              <w:t xml:space="preserve">5 </w:t>
            </w:r>
            <w:r>
              <w:rPr>
                <w:rFonts w:hint="eastAsia" w:ascii="宋体" w:hAnsi="宋体" w:cs="宋体"/>
                <w:color w:val="0000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第37.2（2）项</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两型产品的价格折扣比例</w:t>
            </w:r>
          </w:p>
        </w:tc>
        <w:tc>
          <w:tcPr>
            <w:tcW w:w="5929" w:type="dxa"/>
            <w:vAlign w:val="center"/>
          </w:tcPr>
          <w:p>
            <w:pPr>
              <w:adjustRightInd w:val="0"/>
              <w:snapToGrid w:val="0"/>
              <w:spacing w:line="360" w:lineRule="auto"/>
              <w:rPr>
                <w:rFonts w:ascii="宋体" w:hAnsi="宋体" w:cs="宋体"/>
                <w:color w:val="000000"/>
                <w:szCs w:val="21"/>
              </w:rPr>
            </w:pPr>
            <w:r>
              <w:rPr>
                <w:rFonts w:hint="eastAsia" w:ascii="宋体" w:hAnsi="宋体" w:cs="宋体"/>
                <w:color w:val="000000"/>
                <w:szCs w:val="21"/>
              </w:rPr>
              <w:t>供</w:t>
            </w:r>
            <w:r>
              <w:rPr>
                <w:rFonts w:hint="eastAsia" w:ascii="宋体" w:hAnsi="宋体" w:cs="宋体"/>
                <w:szCs w:val="21"/>
              </w:rPr>
              <w:t>应商提供的产品属《湖南省两型产品政府采购目录》(最新一期)内的，在评审时，给予该产品最后报价5%-10%的价格扣除</w:t>
            </w:r>
            <w:r>
              <w:rPr>
                <w:rFonts w:hint="eastAsia" w:ascii="宋体" w:hAnsi="宋体" w:cs="宋体"/>
                <w:color w:val="000000"/>
                <w:szCs w:val="21"/>
              </w:rPr>
              <w:t>，用扣除后的价格参与评审，本项目价格扣除比例：</w:t>
            </w:r>
          </w:p>
          <w:p>
            <w:pPr>
              <w:adjustRightInd w:val="0"/>
              <w:snapToGrid w:val="0"/>
              <w:spacing w:line="360" w:lineRule="auto"/>
              <w:rPr>
                <w:rFonts w:ascii="宋体" w:hAnsi="宋体"/>
                <w:szCs w:val="21"/>
              </w:rPr>
            </w:pPr>
            <w:r>
              <w:rPr>
                <w:rFonts w:hint="eastAsia" w:ascii="宋体" w:hAnsi="宋体" w:cs="宋体"/>
                <w:color w:val="000000"/>
                <w:szCs w:val="21"/>
              </w:rPr>
              <w:t>“两型产品”为Z两型折扣＝</w:t>
            </w:r>
            <w:r>
              <w:rPr>
                <w:rFonts w:ascii="宋体" w:hAnsi="宋体" w:cs="宋体"/>
                <w:color w:val="000000"/>
                <w:szCs w:val="21"/>
                <w:u w:val="single"/>
              </w:rPr>
              <w:t xml:space="preserve">5 </w:t>
            </w:r>
            <w:r>
              <w:rPr>
                <w:rFonts w:hint="eastAsia" w:ascii="宋体" w:hAnsi="宋体" w:cs="宋体"/>
                <w:color w:val="000000"/>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第37.3（1）项</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小型、微型企业的价格折扣比例</w:t>
            </w:r>
          </w:p>
        </w:tc>
        <w:tc>
          <w:tcPr>
            <w:tcW w:w="5929" w:type="dxa"/>
            <w:vAlign w:val="center"/>
          </w:tcPr>
          <w:p>
            <w:pPr>
              <w:adjustRightInd w:val="0"/>
              <w:snapToGrid w:val="0"/>
              <w:spacing w:beforeLines="50" w:line="360" w:lineRule="auto"/>
              <w:rPr>
                <w:rFonts w:ascii="宋体" w:hAnsi="宋体"/>
                <w:szCs w:val="21"/>
              </w:rPr>
            </w:pPr>
            <w:r>
              <w:rPr>
                <w:rFonts w:hint="eastAsia" w:ascii="宋体" w:hAnsi="宋体"/>
                <w:szCs w:val="21"/>
              </w:rPr>
              <w:t>非专门面向</w:t>
            </w:r>
            <w:r>
              <w:rPr>
                <w:rFonts w:hint="eastAsia" w:ascii="宋体" w:hAnsi="宋体" w:cs="宋体"/>
                <w:szCs w:val="21"/>
              </w:rPr>
              <w:t>中小</w:t>
            </w:r>
            <w:r>
              <w:rPr>
                <w:rFonts w:hint="eastAsia" w:ascii="宋体" w:hAnsi="宋体"/>
                <w:szCs w:val="21"/>
              </w:rPr>
              <w:t xml:space="preserve">企业采购： </w:t>
            </w:r>
          </w:p>
          <w:p>
            <w:pPr>
              <w:spacing w:line="360" w:lineRule="atLeast"/>
              <w:rPr>
                <w:rFonts w:ascii="宋体" w:hAnsi="宋体" w:cs="宋体"/>
                <w:szCs w:val="21"/>
              </w:rPr>
            </w:pPr>
            <w:r>
              <w:rPr>
                <w:rFonts w:ascii="宋体" w:hAnsi="宋体" w:cs="宋体"/>
                <w:szCs w:val="21"/>
              </w:rPr>
              <w:t>投标人</w:t>
            </w:r>
            <w:r>
              <w:rPr>
                <w:rFonts w:hint="eastAsia" w:ascii="宋体" w:hAnsi="宋体" w:cs="宋体"/>
                <w:szCs w:val="21"/>
              </w:rPr>
              <w:t>如为小、微企业的，投标文件必须按招标文件要求提供“享受政府采购政策优惠的证明材料”，否则评审时不予以考虑。</w:t>
            </w:r>
          </w:p>
          <w:p>
            <w:pPr>
              <w:adjustRightInd w:val="0"/>
              <w:snapToGrid w:val="0"/>
              <w:spacing w:line="360" w:lineRule="auto"/>
              <w:rPr>
                <w:rFonts w:ascii="宋体" w:hAnsi="宋体"/>
                <w:szCs w:val="21"/>
              </w:rPr>
            </w:pPr>
            <w:r>
              <w:rPr>
                <w:rFonts w:ascii="宋体" w:hAnsi="宋体" w:cs="宋体"/>
                <w:szCs w:val="21"/>
              </w:rPr>
              <w:t>给予小型和微型企业的价格给予6%-10%的扣除，用扣除后的价格参与评审，本项目具体扣除比例为：</w:t>
            </w:r>
          </w:p>
          <w:p>
            <w:pPr>
              <w:adjustRightInd w:val="0"/>
              <w:snapToGrid w:val="0"/>
              <w:spacing w:before="50" w:line="360" w:lineRule="auto"/>
              <w:rPr>
                <w:rFonts w:ascii="宋体" w:hAnsi="宋体"/>
                <w:szCs w:val="21"/>
              </w:rPr>
            </w:pPr>
            <w:r>
              <w:rPr>
                <w:rFonts w:hint="eastAsia" w:ascii="宋体" w:hAnsi="宋体"/>
                <w:szCs w:val="21"/>
              </w:rPr>
              <w:t>小型、微型企业为Z</w:t>
            </w:r>
            <w:r>
              <w:rPr>
                <w:rFonts w:hint="eastAsia" w:ascii="宋体" w:hAnsi="宋体"/>
                <w:szCs w:val="21"/>
                <w:vertAlign w:val="subscript"/>
              </w:rPr>
              <w:t>小型和微型企业折扣</w:t>
            </w:r>
            <w:r>
              <w:rPr>
                <w:rFonts w:hint="eastAsia" w:ascii="宋体" w:hAnsi="宋体"/>
                <w:szCs w:val="21"/>
              </w:rPr>
              <w:t>＝</w:t>
            </w:r>
            <w:r>
              <w:rPr>
                <w:rFonts w:ascii="宋体" w:hAnsi="宋体"/>
                <w:szCs w:val="21"/>
                <w:u w:val="single"/>
              </w:rPr>
              <w:t xml:space="preserve"> 6 </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第37.3（2）项</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小型、微型企业参加联合体的价格折扣比例</w:t>
            </w:r>
          </w:p>
        </w:tc>
        <w:tc>
          <w:tcPr>
            <w:tcW w:w="5929" w:type="dxa"/>
            <w:vAlign w:val="center"/>
          </w:tcPr>
          <w:p>
            <w:pPr>
              <w:adjustRightInd w:val="0"/>
              <w:snapToGrid w:val="0"/>
              <w:spacing w:before="50" w:line="360" w:lineRule="auto"/>
            </w:pPr>
            <w:r>
              <w:rPr>
                <w:rFonts w:hint="eastAsia"/>
              </w:rPr>
              <w:t>小型、微型企业参加联合体投标并在联合体协议中明确其在合同金额占联合体合同总金额 30%以上的，给予该联合体投标价格给予2%-3%的价格折扣，用扣除后的价格参与评审，本项目具体扣除比例为：</w:t>
            </w:r>
          </w:p>
          <w:p>
            <w:pPr>
              <w:pStyle w:val="2"/>
            </w:pPr>
            <w:r>
              <w:rPr>
                <w:rFonts w:hint="eastAsia" w:ascii="宋体" w:hAnsi="宋体"/>
                <w:szCs w:val="21"/>
              </w:rPr>
              <w:t>小型、微型企业为Z</w:t>
            </w:r>
            <w:r>
              <w:rPr>
                <w:rFonts w:hint="eastAsia" w:ascii="宋体" w:hAnsi="宋体"/>
                <w:szCs w:val="21"/>
                <w:vertAlign w:val="subscript"/>
              </w:rPr>
              <w:t>小型和微型企业折扣</w:t>
            </w:r>
            <w:r>
              <w:rPr>
                <w:rFonts w:hint="eastAsia" w:ascii="宋体" w:hAnsi="宋体"/>
                <w:szCs w:val="21"/>
              </w:rPr>
              <w:t>＝</w:t>
            </w:r>
            <w:r>
              <w:rPr>
                <w:rFonts w:hint="eastAsia" w:ascii="宋体" w:hAnsi="宋体"/>
                <w:szCs w:val="21"/>
                <w:u w:val="single"/>
                <w:lang w:val="en-US"/>
              </w:rPr>
              <w:t>3</w:t>
            </w:r>
            <w:r>
              <w:rPr>
                <w:rFonts w:hint="eastAsia"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Merge w:val="restart"/>
            <w:vAlign w:val="center"/>
          </w:tcPr>
          <w:p>
            <w:pPr>
              <w:adjustRightInd w:val="0"/>
              <w:snapToGrid w:val="0"/>
              <w:spacing w:before="50" w:line="360" w:lineRule="auto"/>
              <w:jc w:val="center"/>
              <w:rPr>
                <w:rFonts w:ascii="宋体" w:hAnsi="宋体"/>
                <w:szCs w:val="21"/>
              </w:rPr>
            </w:pPr>
            <w:r>
              <w:rPr>
                <w:rFonts w:hint="eastAsia" w:ascii="宋体" w:hAnsi="宋体"/>
                <w:szCs w:val="21"/>
              </w:rPr>
              <w:t>第37.3（3）项</w:t>
            </w:r>
          </w:p>
        </w:tc>
        <w:tc>
          <w:tcPr>
            <w:tcW w:w="1701" w:type="dxa"/>
            <w:vAlign w:val="center"/>
          </w:tcPr>
          <w:p>
            <w:pPr>
              <w:spacing w:line="360" w:lineRule="atLeast"/>
              <w:jc w:val="left"/>
              <w:rPr>
                <w:rFonts w:ascii="宋体" w:hAnsi="宋体"/>
                <w:szCs w:val="21"/>
              </w:rPr>
            </w:pPr>
            <w:r>
              <w:rPr>
                <w:rFonts w:hint="eastAsia"/>
                <w:szCs w:val="21"/>
              </w:rPr>
              <w:t>残疾人福利性单位</w:t>
            </w:r>
          </w:p>
        </w:tc>
        <w:tc>
          <w:tcPr>
            <w:tcW w:w="5929" w:type="dxa"/>
            <w:vAlign w:val="center"/>
          </w:tcPr>
          <w:p>
            <w:pPr>
              <w:spacing w:line="360" w:lineRule="atLeast"/>
              <w:rPr>
                <w:rFonts w:ascii="宋体" w:cs="宋体"/>
                <w:szCs w:val="21"/>
              </w:rPr>
            </w:pPr>
            <w:r>
              <w:rPr>
                <w:rFonts w:hint="eastAsia" w:ascii="宋体" w:cs="宋体"/>
                <w:szCs w:val="21"/>
              </w:rPr>
              <w:t>非专门面向残疾人福利单位采购：</w:t>
            </w:r>
          </w:p>
          <w:p>
            <w:pPr>
              <w:spacing w:line="360" w:lineRule="atLeast"/>
              <w:rPr>
                <w:rFonts w:ascii="宋体" w:hAnsi="宋体"/>
                <w:szCs w:val="21"/>
              </w:rPr>
            </w:pPr>
            <w:r>
              <w:rPr>
                <w:rFonts w:hint="eastAsia" w:ascii="宋体" w:cs="宋体"/>
                <w:szCs w:val="21"/>
              </w:rPr>
              <w:t>给予残疾人福利性单位6%-10%的扣除，用扣除后的价格参与评审，本项目具体扣除比例为：</w:t>
            </w:r>
            <w:r>
              <w:rPr>
                <w:rFonts w:ascii="宋体" w:cs="宋体"/>
                <w:szCs w:val="21"/>
                <w:u w:val="single"/>
              </w:rPr>
              <w:t xml:space="preserve">6 </w:t>
            </w:r>
            <w:r>
              <w:rPr>
                <w:rFonts w:hint="eastAsia" w:asci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Merge w:val="continue"/>
            <w:vAlign w:val="center"/>
          </w:tcPr>
          <w:p>
            <w:pPr>
              <w:adjustRightInd w:val="0"/>
              <w:snapToGrid w:val="0"/>
              <w:spacing w:before="50" w:line="360" w:lineRule="auto"/>
              <w:jc w:val="center"/>
              <w:rPr>
                <w:rFonts w:ascii="宋体" w:hAnsi="宋体"/>
                <w:szCs w:val="21"/>
              </w:rPr>
            </w:pPr>
          </w:p>
        </w:tc>
        <w:tc>
          <w:tcPr>
            <w:tcW w:w="1701" w:type="dxa"/>
            <w:vAlign w:val="center"/>
          </w:tcPr>
          <w:p>
            <w:pPr>
              <w:spacing w:line="360" w:lineRule="atLeast"/>
              <w:jc w:val="left"/>
              <w:rPr>
                <w:rFonts w:ascii="宋体" w:hAnsi="宋体"/>
                <w:szCs w:val="21"/>
              </w:rPr>
            </w:pPr>
            <w:r>
              <w:rPr>
                <w:rFonts w:hint="eastAsia" w:ascii="宋体" w:hAnsi="宋体"/>
                <w:szCs w:val="21"/>
              </w:rPr>
              <w:t>监狱企业</w:t>
            </w:r>
          </w:p>
        </w:tc>
        <w:tc>
          <w:tcPr>
            <w:tcW w:w="5929" w:type="dxa"/>
            <w:vAlign w:val="center"/>
          </w:tcPr>
          <w:p>
            <w:pPr>
              <w:spacing w:line="360" w:lineRule="atLeast"/>
              <w:rPr>
                <w:rFonts w:ascii="宋体" w:hAnsi="宋体"/>
              </w:rPr>
            </w:pPr>
            <w:r>
              <w:rPr>
                <w:rFonts w:hint="eastAsia" w:ascii="宋体" w:cs="宋体"/>
                <w:szCs w:val="21"/>
              </w:rPr>
              <w:t>非专门面向</w:t>
            </w:r>
            <w:r>
              <w:rPr>
                <w:rFonts w:hint="eastAsia" w:ascii="宋体" w:hAnsi="宋体"/>
              </w:rPr>
              <w:t>监狱企业采购：</w:t>
            </w:r>
          </w:p>
          <w:p>
            <w:pPr>
              <w:spacing w:line="360" w:lineRule="atLeast"/>
              <w:rPr>
                <w:rFonts w:ascii="宋体" w:hAnsi="宋体"/>
                <w:szCs w:val="21"/>
              </w:rPr>
            </w:pPr>
            <w:r>
              <w:rPr>
                <w:rFonts w:hint="eastAsia" w:ascii="宋体" w:hAnsi="宋体"/>
              </w:rPr>
              <w:t>给予监狱企业</w:t>
            </w:r>
            <w:r>
              <w:rPr>
                <w:rFonts w:hint="eastAsia" w:ascii="宋体" w:cs="宋体"/>
                <w:szCs w:val="21"/>
              </w:rPr>
              <w:t>6%-10%的扣除，用扣除后的价格参与评审，本项目具体扣除比例为：</w:t>
            </w:r>
            <w:r>
              <w:rPr>
                <w:rFonts w:ascii="宋体" w:cs="宋体"/>
                <w:szCs w:val="21"/>
                <w:u w:val="single"/>
              </w:rPr>
              <w:t xml:space="preserve">6 </w:t>
            </w:r>
            <w:r>
              <w:rPr>
                <w:rFonts w:hint="eastAsia" w:asci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第37.7款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进口产品</w:t>
            </w:r>
          </w:p>
        </w:tc>
        <w:tc>
          <w:tcPr>
            <w:tcW w:w="5929" w:type="dxa"/>
            <w:vAlign w:val="center"/>
          </w:tcPr>
          <w:p>
            <w:pPr>
              <w:adjustRightInd w:val="0"/>
              <w:snapToGrid w:val="0"/>
              <w:spacing w:before="50" w:line="360" w:lineRule="auto"/>
              <w:rPr>
                <w:rFonts w:ascii="宋体" w:hAnsi="宋体"/>
                <w:szCs w:val="21"/>
              </w:rPr>
            </w:pPr>
            <w:r>
              <w:rPr>
                <w:rFonts w:hint="eastAsia"/>
                <w:szCs w:val="21"/>
              </w:rPr>
              <w:t>非接触式眼压计、电脑验光仪、视力检查器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pPr>
              <w:adjustRightInd w:val="0"/>
              <w:snapToGrid w:val="0"/>
              <w:spacing w:before="50" w:line="360" w:lineRule="auto"/>
              <w:rPr>
                <w:rFonts w:ascii="宋体" w:hAnsi="宋体"/>
                <w:b/>
                <w:szCs w:val="21"/>
              </w:rPr>
            </w:pPr>
            <w:r>
              <w:rPr>
                <w:rFonts w:hint="eastAsia" w:ascii="宋体" w:hAnsi="宋体"/>
                <w:b/>
                <w:szCs w:val="21"/>
              </w:rPr>
              <w:t>八、其他规定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第38.1款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代理服务费</w:t>
            </w:r>
          </w:p>
        </w:tc>
        <w:tc>
          <w:tcPr>
            <w:tcW w:w="5929" w:type="dxa"/>
            <w:vAlign w:val="center"/>
          </w:tcPr>
          <w:p>
            <w:pPr>
              <w:adjustRightInd w:val="0"/>
              <w:snapToGrid w:val="0"/>
              <w:spacing w:beforeLines="50" w:line="360" w:lineRule="auto"/>
              <w:rPr>
                <w:rFonts w:ascii="宋体" w:hAnsi="宋体"/>
                <w:szCs w:val="21"/>
                <w:u w:val="single"/>
              </w:rPr>
            </w:pPr>
            <w:r>
              <w:rPr>
                <w:rFonts w:hint="eastAsia" w:ascii="仿宋_GB2312" w:hAnsi="仿宋_GB2312" w:cs="仿宋_GB2312"/>
                <w:szCs w:val="21"/>
              </w:rPr>
              <w:t>本项目代理服务费：包1:4500元。包2:7200元 参考计价格[</w:t>
            </w:r>
            <w:r>
              <w:rPr>
                <w:rFonts w:ascii="仿宋_GB2312" w:hAnsi="仿宋_GB2312" w:cs="仿宋_GB2312"/>
                <w:szCs w:val="21"/>
              </w:rPr>
              <w:t>2002]1980</w:t>
            </w:r>
            <w:r>
              <w:rPr>
                <w:rFonts w:hint="eastAsia" w:ascii="仿宋_GB2312" w:hAnsi="仿宋_GB2312" w:cs="仿宋_GB2312"/>
                <w:szCs w:val="21"/>
              </w:rPr>
              <w:t>号文件，双方协商。本项目</w:t>
            </w:r>
            <w:r>
              <w:rPr>
                <w:rFonts w:ascii="仿宋_GB2312" w:hAnsi="仿宋_GB2312" w:cs="仿宋_GB2312"/>
                <w:szCs w:val="21"/>
              </w:rPr>
              <w:t>招标代理服务费由中标人向采购代理机构缴纳</w:t>
            </w:r>
            <w:r>
              <w:rPr>
                <w:rFonts w:hint="eastAsia" w:ascii="仿宋_GB2312" w:hAnsi="仿宋_GB2312" w:cs="仿宋_GB2312"/>
                <w:szCs w:val="21"/>
              </w:rPr>
              <w:t>。</w:t>
            </w:r>
            <w:r>
              <w:rPr>
                <w:rFonts w:hint="eastAsia" w:ascii="宋体" w:hAnsi="宋体"/>
                <w:szCs w:val="21"/>
              </w:rPr>
              <w:t>中标供应商应在领取中标通知书之前一次性付清。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pPr>
              <w:adjustRightInd w:val="0"/>
              <w:snapToGrid w:val="0"/>
              <w:spacing w:before="50" w:line="360" w:lineRule="auto"/>
              <w:jc w:val="center"/>
              <w:rPr>
                <w:rFonts w:ascii="宋体" w:hAnsi="宋体"/>
                <w:szCs w:val="21"/>
              </w:rPr>
            </w:pPr>
            <w:r>
              <w:rPr>
                <w:rFonts w:hint="eastAsia" w:ascii="宋体" w:hAnsi="宋体"/>
                <w:szCs w:val="21"/>
              </w:rPr>
              <w:t>第39.1款</w:t>
            </w:r>
          </w:p>
        </w:tc>
        <w:tc>
          <w:tcPr>
            <w:tcW w:w="1701" w:type="dxa"/>
            <w:vAlign w:val="center"/>
          </w:tcPr>
          <w:p>
            <w:pPr>
              <w:adjustRightInd w:val="0"/>
              <w:snapToGrid w:val="0"/>
              <w:spacing w:before="50" w:line="360" w:lineRule="auto"/>
              <w:rPr>
                <w:rFonts w:ascii="宋体" w:hAnsi="宋体"/>
                <w:szCs w:val="21"/>
              </w:rPr>
            </w:pPr>
            <w:r>
              <w:rPr>
                <w:rFonts w:hint="eastAsia" w:ascii="宋体" w:hAnsi="宋体"/>
                <w:szCs w:val="21"/>
              </w:rPr>
              <w:t>其他规定</w:t>
            </w:r>
          </w:p>
        </w:tc>
        <w:tc>
          <w:tcPr>
            <w:tcW w:w="5929" w:type="dxa"/>
            <w:vAlign w:val="center"/>
          </w:tcPr>
          <w:p>
            <w:pPr>
              <w:spacing w:line="360" w:lineRule="auto"/>
            </w:pPr>
            <w:r>
              <w:rPr>
                <w:rFonts w:ascii="宋体" w:hAnsi="宋体" w:cs="宋体"/>
                <w:szCs w:val="21"/>
              </w:rPr>
              <w:t>1、供应商为</w:t>
            </w:r>
            <w:r>
              <w:rPr>
                <w:rFonts w:hint="eastAsia" w:ascii="宋体" w:hAnsi="宋体" w:cs="宋体"/>
                <w:spacing w:val="6"/>
                <w:szCs w:val="21"/>
              </w:rPr>
              <w:t>小型、微型</w:t>
            </w:r>
            <w:r>
              <w:rPr>
                <w:rFonts w:ascii="宋体" w:hAnsi="宋体" w:cs="宋体"/>
                <w:spacing w:val="6"/>
                <w:szCs w:val="21"/>
              </w:rPr>
              <w:t>企业</w:t>
            </w:r>
            <w:r>
              <w:rPr>
                <w:rFonts w:hint="eastAsia" w:ascii="宋体" w:hAnsi="宋体" w:cs="宋体"/>
                <w:spacing w:val="6"/>
                <w:szCs w:val="21"/>
              </w:rPr>
              <w:t>或</w:t>
            </w:r>
            <w:r>
              <w:rPr>
                <w:rFonts w:hint="eastAsia" w:ascii="宋体" w:hAnsi="宋体"/>
                <w:szCs w:val="21"/>
              </w:rPr>
              <w:t>残疾人福利性单位或监狱企业</w:t>
            </w:r>
            <w:r>
              <w:rPr>
                <w:rFonts w:ascii="宋体" w:hAnsi="宋体" w:cs="宋体"/>
                <w:szCs w:val="21"/>
              </w:rPr>
              <w:t>的，应如实填写并提供供应商《</w:t>
            </w:r>
            <w:r>
              <w:rPr>
                <w:rFonts w:hint="eastAsia" w:ascii="宋体" w:hAnsi="宋体" w:cs="宋体"/>
                <w:szCs w:val="21"/>
              </w:rPr>
              <w:t>小微</w:t>
            </w:r>
            <w:r>
              <w:rPr>
                <w:rFonts w:ascii="宋体" w:hAnsi="宋体" w:cs="宋体"/>
                <w:szCs w:val="21"/>
              </w:rPr>
              <w:t>企业声明函》</w:t>
            </w:r>
            <w:r>
              <w:rPr>
                <w:rFonts w:hint="eastAsia" w:ascii="宋体" w:hAnsi="宋体" w:cs="宋体"/>
                <w:szCs w:val="21"/>
              </w:rPr>
              <w:t>或</w:t>
            </w:r>
            <w:r>
              <w:rPr>
                <w:rFonts w:ascii="宋体" w:hAnsi="宋体"/>
                <w:szCs w:val="21"/>
              </w:rPr>
              <w:t>《</w:t>
            </w:r>
            <w:r>
              <w:rPr>
                <w:rFonts w:hint="eastAsia" w:ascii="宋体" w:hAnsi="宋体"/>
                <w:szCs w:val="21"/>
              </w:rPr>
              <w:t>残疾人福利性单位声明函</w:t>
            </w:r>
            <w:r>
              <w:rPr>
                <w:rFonts w:ascii="宋体" w:hAnsi="宋体"/>
                <w:szCs w:val="21"/>
              </w:rPr>
              <w:t>》</w:t>
            </w:r>
            <w:r>
              <w:rPr>
                <w:rFonts w:hint="eastAsia" w:ascii="宋体" w:hAnsi="宋体"/>
                <w:szCs w:val="21"/>
              </w:rPr>
              <w:t>或《监狱企业证明资料》</w:t>
            </w:r>
            <w:r>
              <w:rPr>
                <w:rFonts w:ascii="宋体" w:hAnsi="宋体" w:cs="宋体"/>
                <w:spacing w:val="6"/>
                <w:szCs w:val="21"/>
              </w:rPr>
              <w:t>；</w:t>
            </w:r>
            <w:r>
              <w:rPr>
                <w:rFonts w:hint="eastAsia" w:ascii="宋体" w:cs="宋体"/>
                <w:szCs w:val="21"/>
              </w:rPr>
              <w:t>产</w:t>
            </w:r>
            <w:r>
              <w:rPr>
                <w:rFonts w:hint="eastAsia" w:ascii="宋体" w:cs="宋体"/>
                <w:color w:val="000000"/>
                <w:szCs w:val="21"/>
              </w:rPr>
              <w:t>品属于“节能产品”或“环境标志产品”或“两型产品”的，应如实填写并提供《“节能产品”、“环境标志产品”、“两型产品”清单》并提供该产品依据国家确定的认证机构（详见《市场监管总局关于发布参与实施政府采购节能产品、环境标志产品认证机构名录的公告》）出具的处于有效期之内的节能产品、环境标志产品认证证书、《湖南省两型产品政府采购目录》中该产品所在页复印件。</w:t>
            </w:r>
            <w:r>
              <w:rPr>
                <w:rFonts w:ascii="宋体" w:hAnsi="宋体" w:cs="宋体"/>
                <w:szCs w:val="21"/>
              </w:rPr>
              <w:t>否则不予价格扣除</w:t>
            </w:r>
            <w:r>
              <w:rPr>
                <w:rFonts w:ascii="宋体" w:hAnsi="宋体" w:cs="宋体"/>
                <w:spacing w:val="6"/>
                <w:szCs w:val="21"/>
              </w:rPr>
              <w:t>。</w:t>
            </w:r>
          </w:p>
          <w:p>
            <w:pPr>
              <w:spacing w:line="400" w:lineRule="atLeast"/>
              <w:rPr>
                <w:rFonts w:ascii="宋体" w:hAnsi="宋体" w:cs="宋体"/>
                <w:szCs w:val="21"/>
              </w:rPr>
            </w:pPr>
            <w:r>
              <w:rPr>
                <w:rFonts w:hint="eastAsia" w:ascii="宋体" w:hAnsi="宋体" w:cs="宋体"/>
                <w:szCs w:val="21"/>
              </w:rPr>
              <w:t>2</w:t>
            </w:r>
            <w:r>
              <w:rPr>
                <w:rFonts w:ascii="宋体" w:hAnsi="宋体" w:cs="宋体"/>
                <w:szCs w:val="21"/>
              </w:rPr>
              <w:t>、合同包或项目包或标段为确定成交供应商的最小单位(即一个合同包或项目包或标段确定一个成交供应商)，合同包或项目包或标段中产品符合政府采购优先采购政策，对该产品按本章规定实行价格扣除。</w:t>
            </w:r>
          </w:p>
          <w:p>
            <w:pPr>
              <w:pStyle w:val="2"/>
              <w:rPr>
                <w:lang w:val="en-US"/>
              </w:rPr>
            </w:pPr>
            <w:r>
              <w:rPr>
                <w:rFonts w:hint="eastAsia"/>
                <w:lang w:val="en-US"/>
              </w:rPr>
              <w:t>3、</w:t>
            </w:r>
            <w:r>
              <w:rPr>
                <w:rFonts w:hint="eastAsia" w:ascii="宋体" w:hAnsi="宋体" w:cs="宋体"/>
                <w:b/>
                <w:bCs/>
                <w:szCs w:val="21"/>
              </w:rPr>
              <w:t>进口产品不允许报价调整。</w:t>
            </w:r>
          </w:p>
        </w:tc>
      </w:tr>
    </w:tbl>
    <w:p>
      <w:pPr>
        <w:adjustRightInd w:val="0"/>
        <w:snapToGrid w:val="0"/>
        <w:spacing w:line="360" w:lineRule="auto"/>
        <w:rPr>
          <w:rFonts w:ascii="宋体" w:hAnsi="宋体"/>
          <w:b/>
          <w:bCs/>
          <w:szCs w:val="21"/>
        </w:rPr>
      </w:pPr>
    </w:p>
    <w:p>
      <w:pPr>
        <w:adjustRightInd w:val="0"/>
        <w:snapToGrid w:val="0"/>
        <w:spacing w:line="360" w:lineRule="auto"/>
        <w:rPr>
          <w:rFonts w:ascii="宋体" w:hAnsi="宋体"/>
          <w:b/>
          <w:bCs/>
          <w:szCs w:val="21"/>
        </w:rPr>
      </w:pPr>
    </w:p>
    <w:p>
      <w:pPr>
        <w:pStyle w:val="6"/>
        <w:keepNext w:val="0"/>
        <w:keepLines w:val="0"/>
        <w:adjustRightInd w:val="0"/>
        <w:snapToGrid w:val="0"/>
        <w:spacing w:beforeLines="50"/>
        <w:jc w:val="center"/>
        <w:rPr>
          <w:rFonts w:ascii="黑体" w:hAnsi="黑体" w:eastAsia="黑体"/>
          <w:sz w:val="32"/>
        </w:rPr>
      </w:pPr>
      <w:r>
        <w:br w:type="page"/>
      </w:r>
      <w:bookmarkStart w:id="26" w:name="_Toc5996"/>
      <w:r>
        <w:rPr>
          <w:rFonts w:hint="eastAsia" w:ascii="黑体" w:hAnsi="黑体" w:eastAsia="黑体"/>
          <w:sz w:val="32"/>
        </w:rPr>
        <w:t>第二节 谈判须知正文</w:t>
      </w:r>
      <w:bookmarkEnd w:id="26"/>
    </w:p>
    <w:p>
      <w:pPr>
        <w:pStyle w:val="7"/>
        <w:keepNext w:val="0"/>
        <w:keepLines w:val="0"/>
        <w:adjustRightInd w:val="0"/>
        <w:snapToGrid w:val="0"/>
        <w:spacing w:beforeLines="50" w:after="0" w:line="360" w:lineRule="auto"/>
        <w:jc w:val="center"/>
        <w:rPr>
          <w:rFonts w:ascii="黑体" w:hAnsi="黑体" w:eastAsia="黑体"/>
          <w:sz w:val="28"/>
          <w:szCs w:val="28"/>
        </w:rPr>
      </w:pPr>
      <w:bookmarkStart w:id="27" w:name="_Toc26151"/>
      <w:r>
        <w:rPr>
          <w:rFonts w:hint="eastAsia" w:ascii="黑体" w:hAnsi="黑体" w:eastAsia="黑体"/>
          <w:sz w:val="28"/>
          <w:szCs w:val="28"/>
        </w:rPr>
        <w:t>一、说明</w:t>
      </w:r>
      <w:bookmarkEnd w:id="27"/>
    </w:p>
    <w:p>
      <w:pPr>
        <w:pStyle w:val="8"/>
        <w:adjustRightInd w:val="0"/>
        <w:snapToGrid w:val="0"/>
        <w:spacing w:before="50" w:after="0" w:line="360" w:lineRule="auto"/>
        <w:rPr>
          <w:rFonts w:ascii="黑体" w:hAnsi="黑体"/>
          <w:sz w:val="24"/>
          <w:szCs w:val="24"/>
        </w:rPr>
      </w:pPr>
      <w:r>
        <w:rPr>
          <w:rFonts w:hint="eastAsia" w:ascii="黑体" w:hAnsi="黑体"/>
          <w:sz w:val="24"/>
          <w:szCs w:val="24"/>
        </w:rPr>
        <w:t>1.适用范围</w:t>
      </w:r>
    </w:p>
    <w:p>
      <w:pPr>
        <w:pStyle w:val="24"/>
        <w:adjustRightInd w:val="0"/>
        <w:snapToGrid w:val="0"/>
        <w:spacing w:beforeLines="50" w:line="360" w:lineRule="auto"/>
        <w:ind w:firstLine="420" w:firstLineChars="200"/>
        <w:rPr>
          <w:rFonts w:hAnsi="宋体"/>
        </w:rPr>
      </w:pPr>
      <w:r>
        <w:rPr>
          <w:rFonts w:hint="eastAsia" w:hAnsi="宋体"/>
        </w:rPr>
        <w:t>1.1本竞争性谈判文件仅适用于本章第一节“谈判须知前附表”（以下简称【谈判须知前附表】）中所叙述的采购项目。</w:t>
      </w:r>
    </w:p>
    <w:p>
      <w:pPr>
        <w:pStyle w:val="8"/>
        <w:keepNext w:val="0"/>
        <w:keepLines w:val="0"/>
        <w:adjustRightInd w:val="0"/>
        <w:snapToGrid w:val="0"/>
        <w:spacing w:before="50" w:after="0" w:line="360" w:lineRule="auto"/>
        <w:rPr>
          <w:rFonts w:ascii="宋体" w:hAnsi="宋体"/>
          <w:szCs w:val="21"/>
        </w:rPr>
      </w:pPr>
      <w:r>
        <w:rPr>
          <w:rFonts w:hint="eastAsia" w:ascii="黑体" w:hAnsi="黑体"/>
          <w:sz w:val="24"/>
          <w:szCs w:val="24"/>
        </w:rPr>
        <w:t>2.定义</w:t>
      </w:r>
    </w:p>
    <w:p>
      <w:pPr>
        <w:pStyle w:val="24"/>
        <w:adjustRightInd w:val="0"/>
        <w:snapToGrid w:val="0"/>
        <w:spacing w:beforeLines="50" w:line="360" w:lineRule="auto"/>
        <w:ind w:firstLine="420" w:firstLineChars="200"/>
        <w:rPr>
          <w:rFonts w:hAnsi="宋体"/>
        </w:rPr>
      </w:pPr>
      <w:r>
        <w:rPr>
          <w:rFonts w:hint="eastAsia" w:hAnsi="宋体"/>
        </w:rPr>
        <w:t>2.1“采购人”是指依法进行政府采购的国家机关、事业单位、团体组织。本次政府采购的采购人名称、地址、电话、联系人见谈判须知前附表。</w:t>
      </w:r>
    </w:p>
    <w:p>
      <w:pPr>
        <w:pStyle w:val="24"/>
        <w:adjustRightInd w:val="0"/>
        <w:snapToGrid w:val="0"/>
        <w:spacing w:beforeLines="50" w:line="360" w:lineRule="auto"/>
        <w:ind w:firstLine="420" w:firstLineChars="200"/>
        <w:rPr>
          <w:rFonts w:hAnsi="宋体"/>
        </w:rPr>
      </w:pPr>
      <w:r>
        <w:rPr>
          <w:rFonts w:hint="eastAsia" w:hAnsi="宋体"/>
        </w:rPr>
        <w:t>2.2“采购代理机构”是指接受采购人委托，代理采购项目的集中采购机构和其他采购代理机构。本次政府采购的采购代理机构名称、地址、电话、联系人见谈判须知前附表。</w:t>
      </w:r>
    </w:p>
    <w:p>
      <w:pPr>
        <w:pStyle w:val="24"/>
        <w:adjustRightInd w:val="0"/>
        <w:snapToGrid w:val="0"/>
        <w:spacing w:beforeLines="50" w:line="360" w:lineRule="auto"/>
        <w:ind w:firstLine="420" w:firstLineChars="200"/>
        <w:rPr>
          <w:rFonts w:hAnsi="宋体" w:cs="宋体"/>
          <w:color w:val="000000" w:themeColor="text1"/>
          <w:kern w:val="0"/>
          <w:lang w:val="zh-CN"/>
        </w:rPr>
      </w:pPr>
      <w:r>
        <w:rPr>
          <w:rFonts w:hint="eastAsia" w:hAnsi="宋体"/>
        </w:rPr>
        <w:t>2.3“供应商”是指响应谈判文件要求、参加竞争性谈判采购的法人、其他组织或者自然人。本次政府采购项目邀请的供应商通过谈判须知前附表所述方式，经谈判小组确定。据此，采购人或采购代理机构己向其发出谈判通知，供应商应持谈判须知前附表规定的资料领取或购买谈判文</w:t>
      </w:r>
      <w:r>
        <w:rPr>
          <w:rFonts w:hAnsi="宋体" w:cs="宋体"/>
          <w:color w:val="000000" w:themeColor="text1"/>
        </w:rPr>
        <w:t>件。</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3.供应商的资格要求</w:t>
      </w:r>
    </w:p>
    <w:p>
      <w:pPr>
        <w:adjustRightInd w:val="0"/>
        <w:snapToGrid w:val="0"/>
        <w:spacing w:beforeLines="50" w:line="360" w:lineRule="auto"/>
        <w:ind w:firstLine="420" w:firstLineChars="200"/>
        <w:jc w:val="left"/>
        <w:rPr>
          <w:rFonts w:ascii="宋体" w:hAnsi="宋体"/>
          <w:color w:val="000000" w:themeColor="text1"/>
          <w:szCs w:val="21"/>
        </w:rPr>
      </w:pPr>
      <w:r>
        <w:rPr>
          <w:rFonts w:hint="eastAsia" w:ascii="宋体" w:hAnsi="宋体"/>
          <w:color w:val="000000" w:themeColor="text1"/>
          <w:szCs w:val="21"/>
        </w:rPr>
        <w:t>3.1供应商应当符合</w:t>
      </w:r>
      <w:r>
        <w:rPr>
          <w:rFonts w:hint="eastAsia" w:ascii="宋体" w:hAnsi="宋体"/>
          <w:b/>
          <w:color w:val="000000" w:themeColor="text1"/>
          <w:szCs w:val="21"/>
        </w:rPr>
        <w:t>【谈判须知前附表】</w:t>
      </w:r>
      <w:r>
        <w:rPr>
          <w:rFonts w:hint="eastAsia" w:ascii="宋体" w:hAnsi="宋体"/>
          <w:color w:val="000000" w:themeColor="text1"/>
          <w:szCs w:val="21"/>
        </w:rPr>
        <w:t>规定的供应商资格条件。</w:t>
      </w:r>
    </w:p>
    <w:p>
      <w:pPr>
        <w:pStyle w:val="24"/>
        <w:adjustRightInd w:val="0"/>
        <w:snapToGrid w:val="0"/>
        <w:spacing w:beforeLines="50" w:line="360" w:lineRule="auto"/>
        <w:ind w:firstLine="420" w:firstLineChars="200"/>
        <w:rPr>
          <w:rFonts w:hAnsi="宋体"/>
        </w:rPr>
      </w:pPr>
      <w:r>
        <w:rPr>
          <w:rFonts w:hint="eastAsia" w:hAnsi="宋体"/>
        </w:rPr>
        <w:t>3.2【谈判须知前附表】规定接受联合体形式的，供应商除应符合本章第3.1</w:t>
      </w:r>
      <w:r>
        <w:rPr>
          <w:rFonts w:hint="eastAsia" w:hAnsi="宋体"/>
          <w:lang w:val="zh-CN"/>
        </w:rPr>
        <w:t>款</w:t>
      </w:r>
      <w:r>
        <w:rPr>
          <w:rFonts w:hint="eastAsia" w:hAnsi="宋体"/>
        </w:rPr>
        <w:t xml:space="preserve">规定外，还应遵守以下规定： </w:t>
      </w:r>
    </w:p>
    <w:p>
      <w:pPr>
        <w:pStyle w:val="24"/>
        <w:adjustRightInd w:val="0"/>
        <w:snapToGrid w:val="0"/>
        <w:spacing w:beforeLines="50" w:line="360" w:lineRule="auto"/>
        <w:ind w:firstLine="420" w:firstLineChars="200"/>
        <w:rPr>
          <w:rFonts w:hAnsi="宋体"/>
        </w:rPr>
      </w:pPr>
      <w:r>
        <w:rPr>
          <w:rFonts w:hint="eastAsia" w:hAnsi="宋体"/>
        </w:rPr>
        <w:t>（l）联合体中有同类资质的供应商按照联合体分工承担相同工作的，应当按照资质等级较低的供应商确定资质等级。</w:t>
      </w:r>
    </w:p>
    <w:p>
      <w:pPr>
        <w:pStyle w:val="24"/>
        <w:adjustRightInd w:val="0"/>
        <w:snapToGrid w:val="0"/>
        <w:spacing w:beforeLines="50" w:line="360" w:lineRule="auto"/>
        <w:ind w:firstLine="420" w:firstLineChars="200"/>
        <w:rPr>
          <w:rFonts w:hAnsi="宋体"/>
        </w:rPr>
      </w:pPr>
      <w:r>
        <w:rPr>
          <w:rFonts w:hint="eastAsia" w:hAnsi="宋体"/>
        </w:rPr>
        <w:t>（2）联合体各方应按谈判文件提供的格式签订联合体协议书，明确联合体牵头人和各方的权利义务、合同工作量比例；</w:t>
      </w:r>
    </w:p>
    <w:p>
      <w:pPr>
        <w:pStyle w:val="24"/>
        <w:adjustRightInd w:val="0"/>
        <w:snapToGrid w:val="0"/>
        <w:spacing w:beforeLines="50" w:line="360" w:lineRule="auto"/>
        <w:ind w:firstLine="420" w:firstLineChars="200"/>
        <w:rPr>
          <w:rFonts w:hAnsi="宋体"/>
          <w:lang w:val="zh-CN"/>
        </w:rPr>
      </w:pPr>
      <w:r>
        <w:rPr>
          <w:rFonts w:hint="eastAsia" w:hAnsi="宋体"/>
        </w:rPr>
        <w:t>（3）联合体各方签订联合体协议书后，</w:t>
      </w:r>
      <w:r>
        <w:rPr>
          <w:rFonts w:hint="eastAsia" w:hAnsi="宋体"/>
          <w:lang w:val="zh-CN"/>
        </w:rPr>
        <w:t>不得再单独参加或者与其他供应商组成新的联合体参加同一合同项下的采购活动。</w:t>
      </w:r>
    </w:p>
    <w:p>
      <w:pPr>
        <w:pStyle w:val="24"/>
        <w:adjustRightInd w:val="0"/>
        <w:snapToGrid w:val="0"/>
        <w:spacing w:beforeLines="50" w:line="360" w:lineRule="auto"/>
        <w:ind w:firstLine="420" w:firstLineChars="200"/>
        <w:rPr>
          <w:rFonts w:hAnsi="宋体"/>
        </w:rPr>
      </w:pPr>
      <w:r>
        <w:rPr>
          <w:rFonts w:hint="eastAsia" w:hAnsi="宋体"/>
          <w:lang w:val="zh-CN"/>
        </w:rPr>
        <w:t>3.3采购人、采购代理机构通过发布竞争性谈判邀请公告（附录1）或竞争性谈判邀请函（附录2）邀请供应商参与谈判。</w:t>
      </w:r>
      <w:r>
        <w:rPr>
          <w:rFonts w:hint="eastAsia" w:hAnsi="宋体"/>
        </w:rPr>
        <w:t>供应商邀请方式见【谈判须知前附表】</w:t>
      </w:r>
    </w:p>
    <w:p>
      <w:pPr>
        <w:pStyle w:val="24"/>
        <w:adjustRightInd w:val="0"/>
        <w:snapToGrid w:val="0"/>
        <w:spacing w:beforeLines="50" w:line="360" w:lineRule="auto"/>
        <w:ind w:firstLine="420" w:firstLineChars="200"/>
        <w:rPr>
          <w:rFonts w:hAnsi="宋体" w:cs="宋体"/>
          <w:kern w:val="0"/>
          <w:lang w:val="zh-CN"/>
        </w:rPr>
      </w:pPr>
      <w:r>
        <w:rPr>
          <w:rFonts w:hint="eastAsia" w:hAnsi="宋体"/>
        </w:rPr>
        <w:t>3.4</w:t>
      </w:r>
      <w:r>
        <w:rPr>
          <w:rFonts w:hint="eastAsia" w:hAnsi="宋体"/>
          <w:lang w:val="zh-CN"/>
        </w:rPr>
        <w:t>采购人、采购代理机构负责对参与谈判的供应商进行资格审查，并按照第一章的格式向</w:t>
      </w:r>
      <w:r>
        <w:rPr>
          <w:rFonts w:hint="eastAsia" w:hAnsi="宋体" w:cs="宋体"/>
          <w:kern w:val="0"/>
          <w:lang w:val="zh-CN"/>
        </w:rPr>
        <w:t>通过资格审查的供应商发出“谈判邀请”。</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 xml:space="preserve">4.参与谈判的费用 </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4.1无论谈判的结果如何，供应商应自行承担所有与竞争性谈判采购活动有关的全部费用。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5.现场勘察</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5.1供应商应按【谈判须知前附表】中规定对采购项目现场和周围环境的现场考察。</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5.2勘察现场的费用由供应商自己承担，勘察期间所发生的人身伤害及财产损失由供应商自己负责。</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5.3采购人不对供应商据此而做出的推论、理解和结论负责。一旦成交，供应商不得以任何借口，而提出额外补偿，或延长合同期限的要求。</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28" w:name="_Toc5170"/>
      <w:r>
        <w:rPr>
          <w:rFonts w:hint="eastAsia" w:ascii="黑体" w:hAnsi="黑体" w:eastAsia="黑体"/>
          <w:sz w:val="28"/>
          <w:szCs w:val="28"/>
        </w:rPr>
        <w:t>二、谈判文件</w:t>
      </w:r>
      <w:bookmarkEnd w:id="28"/>
    </w:p>
    <w:p>
      <w:pPr>
        <w:pStyle w:val="8"/>
        <w:adjustRightInd w:val="0"/>
        <w:snapToGrid w:val="0"/>
        <w:spacing w:before="50" w:after="0" w:line="360" w:lineRule="auto"/>
        <w:rPr>
          <w:sz w:val="24"/>
          <w:szCs w:val="24"/>
        </w:rPr>
      </w:pPr>
      <w:r>
        <w:rPr>
          <w:rFonts w:hint="eastAsia"/>
          <w:sz w:val="24"/>
          <w:szCs w:val="24"/>
        </w:rPr>
        <w:t>6.谈判文件的组成</w:t>
      </w:r>
    </w:p>
    <w:p>
      <w:pPr>
        <w:pStyle w:val="24"/>
        <w:adjustRightInd w:val="0"/>
        <w:snapToGrid w:val="0"/>
        <w:spacing w:beforeLines="50" w:line="360" w:lineRule="auto"/>
        <w:ind w:firstLine="420" w:firstLineChars="200"/>
        <w:rPr>
          <w:rFonts w:hAnsi="宋体"/>
        </w:rPr>
      </w:pPr>
      <w:r>
        <w:rPr>
          <w:rFonts w:hint="eastAsia" w:hAnsi="宋体"/>
        </w:rPr>
        <w:t>6.1谈判文件由下列文件组成：</w:t>
      </w:r>
    </w:p>
    <w:p>
      <w:pPr>
        <w:pStyle w:val="24"/>
        <w:adjustRightInd w:val="0"/>
        <w:snapToGrid w:val="0"/>
        <w:spacing w:beforeLines="50" w:line="360" w:lineRule="auto"/>
        <w:ind w:firstLine="420" w:firstLineChars="200"/>
        <w:rPr>
          <w:rFonts w:hAnsi="宋体"/>
        </w:rPr>
      </w:pPr>
      <w:r>
        <w:rPr>
          <w:rFonts w:hint="eastAsia" w:hAnsi="宋体"/>
        </w:rPr>
        <w:t>第一章 采购邀请</w:t>
      </w:r>
    </w:p>
    <w:p>
      <w:pPr>
        <w:pStyle w:val="24"/>
        <w:adjustRightInd w:val="0"/>
        <w:snapToGrid w:val="0"/>
        <w:spacing w:beforeLines="50" w:line="360" w:lineRule="auto"/>
        <w:ind w:firstLine="420" w:firstLineChars="200"/>
        <w:rPr>
          <w:rFonts w:hAnsi="宋体"/>
        </w:rPr>
      </w:pPr>
      <w:r>
        <w:rPr>
          <w:rFonts w:hint="eastAsia" w:hAnsi="宋体"/>
        </w:rPr>
        <w:t>第二章 谈判须知</w:t>
      </w:r>
    </w:p>
    <w:p>
      <w:pPr>
        <w:pStyle w:val="24"/>
        <w:adjustRightInd w:val="0"/>
        <w:snapToGrid w:val="0"/>
        <w:spacing w:beforeLines="50" w:line="360" w:lineRule="auto"/>
        <w:ind w:firstLine="420" w:firstLineChars="200"/>
        <w:rPr>
          <w:rFonts w:hAnsi="宋体"/>
        </w:rPr>
      </w:pPr>
      <w:r>
        <w:rPr>
          <w:rFonts w:hint="eastAsia" w:hAnsi="宋体"/>
        </w:rPr>
        <w:t>第三章 合同草案条款</w:t>
      </w:r>
    </w:p>
    <w:p>
      <w:pPr>
        <w:pStyle w:val="24"/>
        <w:adjustRightInd w:val="0"/>
        <w:snapToGrid w:val="0"/>
        <w:spacing w:beforeLines="50" w:line="360" w:lineRule="auto"/>
        <w:ind w:firstLine="420" w:firstLineChars="200"/>
        <w:rPr>
          <w:rFonts w:hAnsi="宋体"/>
        </w:rPr>
      </w:pPr>
      <w:r>
        <w:rPr>
          <w:rFonts w:hint="eastAsia" w:hAnsi="宋体"/>
        </w:rPr>
        <w:t>第四章 采购需求</w:t>
      </w:r>
    </w:p>
    <w:p>
      <w:pPr>
        <w:pStyle w:val="24"/>
        <w:adjustRightInd w:val="0"/>
        <w:snapToGrid w:val="0"/>
        <w:spacing w:beforeLines="50" w:line="360" w:lineRule="auto"/>
        <w:ind w:firstLine="420" w:firstLineChars="200"/>
        <w:rPr>
          <w:rFonts w:hAnsi="宋体"/>
        </w:rPr>
      </w:pPr>
      <w:r>
        <w:rPr>
          <w:rFonts w:hint="eastAsia" w:hAnsi="宋体"/>
        </w:rPr>
        <w:t>第五章 响应文件组成</w:t>
      </w:r>
    </w:p>
    <w:p>
      <w:pPr>
        <w:pStyle w:val="24"/>
        <w:adjustRightInd w:val="0"/>
        <w:snapToGrid w:val="0"/>
        <w:spacing w:beforeLines="50" w:line="360" w:lineRule="auto"/>
        <w:ind w:firstLine="420" w:firstLineChars="200"/>
        <w:rPr>
          <w:rFonts w:hAnsi="宋体" w:cs="宋体"/>
          <w:kern w:val="0"/>
        </w:rPr>
      </w:pPr>
      <w:r>
        <w:rPr>
          <w:rFonts w:hint="eastAsia"/>
        </w:rPr>
        <w:t>6.2</w:t>
      </w:r>
      <w:r>
        <w:rPr>
          <w:rFonts w:hint="eastAsia" w:hAnsi="宋体" w:cs="宋体"/>
          <w:kern w:val="0"/>
        </w:rPr>
        <w:t>采购人、采购代理机构或者谈判小组在提交首次响应文件截止之日前对已发出的谈判文件进行的澄清或者修改，构成谈判文件的组成部分。</w:t>
      </w:r>
    </w:p>
    <w:p>
      <w:pPr>
        <w:pStyle w:val="24"/>
        <w:adjustRightInd w:val="0"/>
        <w:snapToGrid w:val="0"/>
        <w:spacing w:beforeLines="50" w:line="360" w:lineRule="auto"/>
        <w:ind w:firstLine="420" w:firstLineChars="200"/>
        <w:rPr>
          <w:rFonts w:hAnsi="宋体" w:cs="宋体"/>
          <w:kern w:val="0"/>
        </w:rPr>
      </w:pPr>
      <w:r>
        <w:rPr>
          <w:rFonts w:hint="eastAsia" w:hAnsi="宋体" w:cs="宋体"/>
          <w:kern w:val="0"/>
        </w:rPr>
        <w:t>6.3谈判文件中，谈判小组根据与供应商谈判情况可能实质性变动的内容见【谈判须知前附表】。对谈判文件作出的实质性变动是谈判文件的有效组成部分。</w:t>
      </w:r>
    </w:p>
    <w:p>
      <w:pPr>
        <w:pStyle w:val="24"/>
        <w:adjustRightInd w:val="0"/>
        <w:snapToGrid w:val="0"/>
        <w:spacing w:beforeLines="50" w:line="360" w:lineRule="auto"/>
        <w:ind w:firstLine="420" w:firstLineChars="200"/>
        <w:rPr>
          <w:rFonts w:hAnsi="宋体" w:cs="宋体"/>
          <w:kern w:val="0"/>
        </w:rPr>
      </w:pPr>
      <w:r>
        <w:rPr>
          <w:rFonts w:hint="eastAsia" w:hAnsi="宋体" w:cs="宋体"/>
          <w:kern w:val="0"/>
        </w:rPr>
        <w:t>6.4供应商应仔细阅读谈判文件的全部内容，按照谈判文件要求编制响应文件。任何对谈判文件的忽略或误解不能作为响应文件存在缺陷或瑕疵的理由，其风险由供应商承担。</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7.谈判文件的澄清</w:t>
      </w:r>
      <w:r>
        <w:rPr>
          <w:rFonts w:hint="eastAsia" w:ascii="黑体" w:hAnsi="黑体"/>
          <w:kern w:val="0"/>
          <w:sz w:val="24"/>
          <w:szCs w:val="24"/>
          <w:lang w:val="zh-CN"/>
        </w:rPr>
        <w:t>或者</w:t>
      </w:r>
      <w:r>
        <w:rPr>
          <w:rFonts w:hint="eastAsia" w:ascii="黑体" w:hAnsi="黑体"/>
          <w:sz w:val="24"/>
          <w:szCs w:val="24"/>
        </w:rPr>
        <w:t>修改</w:t>
      </w:r>
    </w:p>
    <w:p>
      <w:pPr>
        <w:adjustRightInd w:val="0"/>
        <w:snapToGrid w:val="0"/>
        <w:spacing w:beforeLines="50" w:line="360" w:lineRule="auto"/>
        <w:ind w:right="-105" w:rightChars="-50" w:firstLine="420" w:firstLineChars="200"/>
        <w:rPr>
          <w:rFonts w:ascii="宋体" w:hAnsi="宋体" w:cs="宋体"/>
          <w:kern w:val="0"/>
          <w:szCs w:val="21"/>
        </w:rPr>
      </w:pPr>
      <w:r>
        <w:rPr>
          <w:rFonts w:hint="eastAsia" w:ascii="宋体" w:hAnsi="宋体"/>
          <w:szCs w:val="21"/>
        </w:rPr>
        <w:t>7.1在</w:t>
      </w:r>
      <w:r>
        <w:rPr>
          <w:rFonts w:hint="eastAsia" w:ascii="宋体" w:hAnsi="宋体" w:cs="宋体"/>
          <w:kern w:val="0"/>
          <w:szCs w:val="21"/>
        </w:rPr>
        <w:t>提交首次响应文件截止之日前，采购人、采购代理机构或者谈判小组可以对已发出的谈判文件进行必要的澄清或者修改。</w:t>
      </w:r>
    </w:p>
    <w:p>
      <w:pPr>
        <w:adjustRightInd w:val="0"/>
        <w:snapToGrid w:val="0"/>
        <w:spacing w:beforeLines="50" w:line="360" w:lineRule="auto"/>
        <w:ind w:right="-105" w:rightChars="-50" w:firstLine="420" w:firstLineChars="200"/>
        <w:rPr>
          <w:rFonts w:ascii="宋体" w:hAnsi="宋体" w:cs="宋体"/>
          <w:kern w:val="0"/>
          <w:szCs w:val="21"/>
        </w:rPr>
      </w:pPr>
      <w:r>
        <w:rPr>
          <w:rFonts w:hint="eastAsia" w:ascii="宋体" w:hAnsi="宋体"/>
          <w:szCs w:val="21"/>
        </w:rPr>
        <w:t>7.2</w:t>
      </w:r>
      <w:r>
        <w:rPr>
          <w:rFonts w:hint="eastAsia" w:ascii="宋体" w:hAnsi="宋体" w:cs="宋体"/>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29" w:name="_Toc29192"/>
      <w:r>
        <w:rPr>
          <w:rFonts w:hint="eastAsia" w:ascii="黑体" w:hAnsi="黑体" w:eastAsia="黑体"/>
          <w:sz w:val="28"/>
          <w:szCs w:val="28"/>
        </w:rPr>
        <w:t>三、响应文件</w:t>
      </w:r>
      <w:bookmarkEnd w:id="29"/>
    </w:p>
    <w:p>
      <w:pPr>
        <w:pStyle w:val="8"/>
        <w:adjustRightInd w:val="0"/>
        <w:snapToGrid w:val="0"/>
        <w:spacing w:before="50" w:after="0" w:line="360" w:lineRule="auto"/>
        <w:rPr>
          <w:rFonts w:ascii="黑体" w:hAnsi="黑体"/>
          <w:sz w:val="24"/>
          <w:szCs w:val="24"/>
        </w:rPr>
      </w:pPr>
      <w:r>
        <w:rPr>
          <w:rFonts w:hint="eastAsia" w:ascii="黑体" w:hAnsi="黑体"/>
          <w:sz w:val="24"/>
          <w:szCs w:val="24"/>
        </w:rPr>
        <w:t>8.一般要求</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8.1供应商应仔细阅读谈判文件的所有内容，按谈判文件的要求编制响应文件，并保证所提供的全部资料的真实性，以使其响应文件对谈判文件做出实质性的响应。</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8.2</w:t>
      </w:r>
      <w:r>
        <w:rPr>
          <w:rFonts w:hint="eastAsia" w:ascii="宋体" w:hAnsi="宋体"/>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24"/>
        <w:adjustRightInd w:val="0"/>
        <w:snapToGrid w:val="0"/>
        <w:spacing w:beforeLines="50" w:line="360" w:lineRule="auto"/>
        <w:ind w:firstLine="420" w:firstLineChars="200"/>
        <w:rPr>
          <w:rFonts w:hAnsi="宋体"/>
        </w:rPr>
      </w:pPr>
      <w:r>
        <w:rPr>
          <w:rFonts w:hint="eastAsia" w:hAnsi="宋体"/>
          <w:bCs/>
        </w:rPr>
        <w:t>8.3</w:t>
      </w:r>
      <w:r>
        <w:rPr>
          <w:rFonts w:hint="eastAsia" w:hAnsi="宋体"/>
        </w:rPr>
        <w:t>计量单位应使用我国法定计量单位，未列明时应默认为我国法定计量单位。</w:t>
      </w:r>
    </w:p>
    <w:p>
      <w:pPr>
        <w:pStyle w:val="24"/>
        <w:adjustRightInd w:val="0"/>
        <w:snapToGrid w:val="0"/>
        <w:spacing w:beforeLines="50" w:line="360" w:lineRule="auto"/>
        <w:ind w:firstLine="420" w:firstLineChars="200"/>
        <w:rPr>
          <w:rFonts w:hAnsi="宋体"/>
        </w:rPr>
      </w:pPr>
      <w:r>
        <w:rPr>
          <w:rFonts w:hint="eastAsia" w:hAnsi="宋体"/>
        </w:rPr>
        <w:t>8.4响应文件应采用书面形式，电报、传真、电子邮件形式的响应文件概不接受。</w:t>
      </w:r>
    </w:p>
    <w:p>
      <w:pPr>
        <w:adjustRightInd w:val="0"/>
        <w:snapToGrid w:val="0"/>
        <w:spacing w:beforeLines="50" w:line="360" w:lineRule="auto"/>
        <w:ind w:firstLine="420" w:firstLineChars="200"/>
        <w:rPr>
          <w:rFonts w:ascii="宋体" w:hAnsi="宋体"/>
          <w:szCs w:val="21"/>
        </w:rPr>
      </w:pPr>
      <w:r>
        <w:rPr>
          <w:rFonts w:hint="eastAsia" w:ascii="宋体" w:hAnsi="宋体"/>
          <w:szCs w:val="21"/>
        </w:rPr>
        <w:t>8.5供应商应按谈判文件中提供的响应文件格式填写。</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9.响应文件的组成</w:t>
      </w:r>
    </w:p>
    <w:p>
      <w:pPr>
        <w:adjustRightInd w:val="0"/>
        <w:snapToGrid w:val="0"/>
        <w:spacing w:beforeLines="50" w:line="360" w:lineRule="auto"/>
        <w:ind w:firstLine="420" w:firstLineChars="200"/>
        <w:rPr>
          <w:rFonts w:ascii="宋体" w:hAnsi="宋体"/>
          <w:bCs/>
          <w:szCs w:val="21"/>
        </w:rPr>
      </w:pPr>
      <w:r>
        <w:rPr>
          <w:rFonts w:hint="eastAsia" w:ascii="宋体"/>
        </w:rPr>
        <w:t>9</w:t>
      </w:r>
      <w:r>
        <w:rPr>
          <w:rFonts w:hint="eastAsia" w:ascii="宋体" w:hAnsi="宋体"/>
          <w:bCs/>
          <w:szCs w:val="21"/>
        </w:rPr>
        <w:t>.1响应文件包括下列内容：</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（1）谈判响应声明(格式)</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（2）法定代表人（单位负责人）身份证明(格式)</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（3）授权委托书(格式)</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（4）保证金</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（5）首次报价表及报价文件(格式)</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（6）采购需求的响应</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（7）合同条款偏离表</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（8）采购需求偏离表</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（9）享受政府采购政策优惠的证明资料</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（10）关于资格的声明(格式)</w:t>
      </w:r>
    </w:p>
    <w:p>
      <w:pPr>
        <w:adjustRightInd w:val="0"/>
        <w:snapToGrid w:val="0"/>
        <w:spacing w:beforeLines="50" w:line="360" w:lineRule="auto"/>
        <w:ind w:firstLine="420" w:firstLineChars="200"/>
        <w:rPr>
          <w:rFonts w:ascii="宋体" w:hAnsi="宋体"/>
          <w:bCs/>
          <w:szCs w:val="21"/>
        </w:rPr>
      </w:pPr>
      <w:r>
        <w:rPr>
          <w:rFonts w:hint="eastAsia" w:ascii="宋体" w:hAnsi="宋体"/>
          <w:bCs/>
          <w:szCs w:val="21"/>
        </w:rPr>
        <w:t>（11）响应标的符合谈判文件规定的证明文件</w:t>
      </w:r>
    </w:p>
    <w:p>
      <w:pPr>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（12）代理服务费承诺书</w:t>
      </w:r>
    </w:p>
    <w:p>
      <w:pPr>
        <w:pStyle w:val="24"/>
        <w:adjustRightInd w:val="0"/>
        <w:snapToGrid w:val="0"/>
        <w:spacing w:beforeLines="50" w:line="360" w:lineRule="auto"/>
        <w:ind w:firstLine="420" w:firstLineChars="200"/>
        <w:rPr>
          <w:rFonts w:hAnsi="宋体"/>
          <w:bCs/>
        </w:rPr>
      </w:pPr>
      <w:r>
        <w:rPr>
          <w:rFonts w:hint="eastAsia" w:hAnsi="宋体"/>
          <w:bCs/>
        </w:rPr>
        <w:t>9.2在谈判过程中，供应商根据谈判小组书面形式要求提交的最后报价(或者重新提交的响应文件和最后报价)是响应文件的有效组成部分。</w:t>
      </w:r>
    </w:p>
    <w:p>
      <w:pPr>
        <w:pStyle w:val="24"/>
        <w:adjustRightInd w:val="0"/>
        <w:snapToGrid w:val="0"/>
        <w:spacing w:beforeLines="50" w:line="360" w:lineRule="auto"/>
        <w:ind w:firstLine="420" w:firstLineChars="200"/>
        <w:rPr>
          <w:rFonts w:hAnsi="宋体"/>
          <w:bCs/>
        </w:rPr>
      </w:pPr>
      <w:r>
        <w:rPr>
          <w:rFonts w:hint="eastAsia" w:hAnsi="宋体"/>
          <w:bCs/>
        </w:rPr>
        <w:t>9.3根据《政府采购法》第四十二条的规定，供应商无论成交与否，其响应文件不予退还。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10.报价要求</w:t>
      </w:r>
    </w:p>
    <w:p>
      <w:pPr>
        <w:pStyle w:val="24"/>
        <w:adjustRightInd w:val="0"/>
        <w:snapToGrid w:val="0"/>
        <w:spacing w:beforeLines="50" w:line="360" w:lineRule="auto"/>
        <w:ind w:firstLine="420" w:firstLineChars="200"/>
        <w:rPr>
          <w:rFonts w:hAnsi="宋体"/>
          <w:bCs/>
        </w:rPr>
      </w:pPr>
      <w:r>
        <w:rPr>
          <w:rFonts w:hint="eastAsia" w:hAnsi="宋体"/>
          <w:bCs/>
        </w:rPr>
        <w:t>10.1供应商应当根据谈判文件第三章第一节“采购清单一览表”逐一报价；谈判文件第三章提供第三节“工程量清单”的，供应商应按其要求填写相应表格。</w:t>
      </w:r>
    </w:p>
    <w:p>
      <w:pPr>
        <w:pStyle w:val="24"/>
        <w:adjustRightInd w:val="0"/>
        <w:snapToGrid w:val="0"/>
        <w:spacing w:beforeLines="50" w:line="360" w:lineRule="auto"/>
        <w:ind w:firstLine="420" w:firstLineChars="200"/>
        <w:rPr>
          <w:rFonts w:hAnsi="宋体"/>
          <w:bCs/>
        </w:rPr>
      </w:pPr>
      <w:r>
        <w:rPr>
          <w:rFonts w:hint="eastAsia" w:hAnsi="宋体"/>
          <w:bCs/>
        </w:rPr>
        <w:t>10.2在报价表、分项报价表填写报价时应注意下列要求：</w:t>
      </w:r>
    </w:p>
    <w:p>
      <w:pPr>
        <w:pStyle w:val="24"/>
        <w:adjustRightInd w:val="0"/>
        <w:snapToGrid w:val="0"/>
        <w:spacing w:beforeLines="50" w:line="360" w:lineRule="auto"/>
        <w:ind w:firstLine="420" w:firstLineChars="200"/>
        <w:rPr>
          <w:rFonts w:hAnsi="宋体"/>
          <w:bCs/>
        </w:rPr>
      </w:pPr>
      <w:r>
        <w:rPr>
          <w:rFonts w:hint="eastAsia" w:hAnsi="宋体"/>
          <w:bCs/>
        </w:rPr>
        <w:t>（1）采购需求要求的安装、调试、培训、售后服务及其它附加服务的费用。</w:t>
      </w:r>
    </w:p>
    <w:p>
      <w:pPr>
        <w:pStyle w:val="24"/>
        <w:adjustRightInd w:val="0"/>
        <w:snapToGrid w:val="0"/>
        <w:spacing w:beforeLines="50" w:line="360" w:lineRule="auto"/>
        <w:ind w:firstLine="420" w:firstLineChars="200"/>
        <w:rPr>
          <w:rFonts w:hAnsi="宋体"/>
          <w:bCs/>
        </w:rPr>
      </w:pPr>
      <w:r>
        <w:rPr>
          <w:rFonts w:hint="eastAsia" w:hAnsi="宋体"/>
          <w:bCs/>
        </w:rPr>
        <w:t>（2）所有根据合同或其它原因应由供应商交纳和支付的税款和费用。</w:t>
      </w:r>
    </w:p>
    <w:p>
      <w:pPr>
        <w:pStyle w:val="24"/>
        <w:adjustRightInd w:val="0"/>
        <w:snapToGrid w:val="0"/>
        <w:spacing w:beforeLines="50" w:line="360" w:lineRule="auto"/>
        <w:ind w:firstLine="420" w:firstLineChars="200"/>
        <w:rPr>
          <w:rFonts w:hAnsi="宋体"/>
          <w:bCs/>
        </w:rPr>
      </w:pPr>
      <w:r>
        <w:rPr>
          <w:rFonts w:hint="eastAsia" w:hAnsi="宋体"/>
          <w:bCs/>
        </w:rPr>
        <w:t>（3）谈判文件指定交货地点的运输、保险、装卸费。</w:t>
      </w:r>
    </w:p>
    <w:p>
      <w:pPr>
        <w:pStyle w:val="24"/>
        <w:adjustRightInd w:val="0"/>
        <w:snapToGrid w:val="0"/>
        <w:spacing w:beforeLines="50" w:line="360" w:lineRule="auto"/>
        <w:ind w:firstLine="420" w:firstLineChars="200"/>
        <w:rPr>
          <w:rFonts w:hAnsi="宋体"/>
          <w:bCs/>
        </w:rPr>
      </w:pPr>
      <w:r>
        <w:rPr>
          <w:rFonts w:hint="eastAsia" w:hAnsi="宋体"/>
          <w:bCs/>
        </w:rPr>
        <w:t>（4）实行工程量清单报价的，供应商提交最后报价应与已标价工程量清单总报价一致。</w:t>
      </w:r>
    </w:p>
    <w:p>
      <w:pPr>
        <w:pStyle w:val="24"/>
        <w:adjustRightInd w:val="0"/>
        <w:snapToGrid w:val="0"/>
        <w:spacing w:beforeLines="50" w:line="360" w:lineRule="auto"/>
        <w:ind w:firstLine="420" w:firstLineChars="200"/>
        <w:rPr>
          <w:rFonts w:hAnsi="宋体"/>
          <w:bCs/>
        </w:rPr>
      </w:pPr>
      <w:r>
        <w:rPr>
          <w:rFonts w:hint="eastAsia" w:hAnsi="宋体"/>
          <w:bCs/>
        </w:rPr>
        <w:t>10.3</w:t>
      </w:r>
      <w:r>
        <w:rPr>
          <w:rFonts w:hint="eastAsia" w:hAnsi="宋体"/>
          <w:bCs/>
          <w:lang w:val="zh-CN"/>
        </w:rPr>
        <w:t>供应商</w:t>
      </w:r>
      <w:r>
        <w:rPr>
          <w:rFonts w:hint="eastAsia" w:hAnsi="宋体"/>
          <w:bCs/>
        </w:rPr>
        <w:t>的最后报价不得超过采购项目预算，采购项目预算见【谈判须知前附表】。</w:t>
      </w:r>
    </w:p>
    <w:p>
      <w:pPr>
        <w:pStyle w:val="24"/>
        <w:adjustRightInd w:val="0"/>
        <w:snapToGrid w:val="0"/>
        <w:spacing w:beforeLines="50" w:line="360" w:lineRule="auto"/>
        <w:ind w:firstLine="420" w:firstLineChars="200"/>
        <w:rPr>
          <w:rFonts w:hAnsi="宋体"/>
          <w:bCs/>
        </w:rPr>
      </w:pPr>
      <w:r>
        <w:rPr>
          <w:rFonts w:hint="eastAsia" w:hAnsi="宋体"/>
          <w:bCs/>
        </w:rPr>
        <w:t>10.4供应商提交的最后报价在合同执行过程中是固定不变的，不得以任何理由予以变更。以可变动价格提交的报价将被认为是非实质响应而被拒绝。</w:t>
      </w:r>
    </w:p>
    <w:p>
      <w:pPr>
        <w:pStyle w:val="24"/>
        <w:adjustRightInd w:val="0"/>
        <w:snapToGrid w:val="0"/>
        <w:spacing w:beforeLines="50" w:line="360" w:lineRule="auto"/>
        <w:ind w:firstLine="420" w:firstLineChars="200"/>
        <w:rPr>
          <w:rFonts w:hAnsi="宋体"/>
          <w:bCs/>
        </w:rPr>
      </w:pPr>
      <w:r>
        <w:rPr>
          <w:rFonts w:hint="eastAsia" w:hAnsi="宋体"/>
          <w:bCs/>
        </w:rPr>
        <w:t>10.5采购人不接受供应商给予的赠品、回扣或者与采购无关的其他商品、服务。</w:t>
      </w:r>
    </w:p>
    <w:p>
      <w:pPr>
        <w:pStyle w:val="24"/>
        <w:adjustRightInd w:val="0"/>
        <w:snapToGrid w:val="0"/>
        <w:spacing w:beforeLines="50" w:line="360" w:lineRule="auto"/>
        <w:ind w:firstLine="420" w:firstLineChars="200"/>
        <w:rPr>
          <w:rFonts w:hAnsi="宋体"/>
          <w:bCs/>
        </w:rPr>
      </w:pPr>
      <w:r>
        <w:rPr>
          <w:rFonts w:hint="eastAsia" w:hAnsi="宋体"/>
          <w:bCs/>
        </w:rPr>
        <w:t>10.6报价的其他要求见【谈判须知前附表】。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11.保证金</w:t>
      </w:r>
    </w:p>
    <w:p>
      <w:pPr>
        <w:pStyle w:val="24"/>
        <w:adjustRightInd w:val="0"/>
        <w:snapToGrid w:val="0"/>
        <w:spacing w:beforeLines="50" w:line="360" w:lineRule="auto"/>
        <w:ind w:firstLine="420" w:firstLineChars="200"/>
        <w:rPr>
          <w:rFonts w:hAnsi="宋体"/>
          <w:bCs/>
        </w:rPr>
      </w:pPr>
      <w:r>
        <w:rPr>
          <w:rFonts w:hint="eastAsia" w:hAnsi="宋体"/>
          <w:bCs/>
        </w:rPr>
        <w:t>11.1谈判文件要求供应商提交保证金的，供应商应按【谈判须知前附表】规定，在提交响应文件的截止时间前提交保证金。保证金有效期应当与响应文件有效期一致。</w:t>
      </w:r>
    </w:p>
    <w:p>
      <w:pPr>
        <w:pStyle w:val="24"/>
        <w:adjustRightInd w:val="0"/>
        <w:snapToGrid w:val="0"/>
        <w:spacing w:beforeLines="50" w:line="360" w:lineRule="auto"/>
        <w:ind w:firstLine="420" w:firstLineChars="200"/>
        <w:rPr>
          <w:rFonts w:hAnsi="宋体"/>
          <w:bCs/>
        </w:rPr>
      </w:pPr>
      <w:r>
        <w:rPr>
          <w:rFonts w:hint="eastAsia" w:hAnsi="宋体"/>
          <w:bCs/>
        </w:rPr>
        <w:t>11.2</w:t>
      </w:r>
      <w:r>
        <w:rPr>
          <w:rFonts w:hint="eastAsia" w:hAnsi="宋体"/>
          <w:bCs/>
          <w:lang w:val="zh-CN"/>
        </w:rPr>
        <w:t>供应商为联合体的，可以由联合体中的一方或者共同交纳保证金，其交纳的保证金，对联合体各方均具有约束力。</w:t>
      </w:r>
    </w:p>
    <w:p>
      <w:pPr>
        <w:pStyle w:val="24"/>
        <w:adjustRightInd w:val="0"/>
        <w:snapToGrid w:val="0"/>
        <w:spacing w:beforeLines="50" w:line="360" w:lineRule="auto"/>
        <w:ind w:firstLine="420" w:firstLineChars="200"/>
        <w:rPr>
          <w:rFonts w:hAnsi="宋体"/>
          <w:bCs/>
        </w:rPr>
      </w:pPr>
      <w:r>
        <w:rPr>
          <w:rFonts w:hint="eastAsia" w:hAnsi="宋体"/>
          <w:bCs/>
        </w:rPr>
        <w:t>11.3采购人、采购代理机构在成交通知书发出后5个工作日内退还未成交供应商的保证金；在采购合同签定后5个工作日内退还成交供应商的保证金，但因供应商自身原因导致无法及时退还的除外。</w:t>
      </w:r>
    </w:p>
    <w:p>
      <w:pPr>
        <w:pStyle w:val="24"/>
        <w:adjustRightInd w:val="0"/>
        <w:snapToGrid w:val="0"/>
        <w:spacing w:beforeLines="50" w:line="360" w:lineRule="auto"/>
        <w:ind w:firstLine="420" w:firstLineChars="200"/>
        <w:rPr>
          <w:rFonts w:hAnsi="宋体"/>
          <w:bCs/>
        </w:rPr>
      </w:pPr>
      <w:r>
        <w:rPr>
          <w:rFonts w:hint="eastAsia" w:hAnsi="宋体"/>
          <w:bCs/>
        </w:rPr>
        <w:t>11.4保证金的退还按以下规定办理：</w:t>
      </w:r>
    </w:p>
    <w:p>
      <w:pPr>
        <w:pStyle w:val="24"/>
        <w:adjustRightInd w:val="0"/>
        <w:snapToGrid w:val="0"/>
        <w:spacing w:beforeLines="50" w:line="360" w:lineRule="auto"/>
        <w:ind w:firstLine="420" w:firstLineChars="200"/>
        <w:rPr>
          <w:rFonts w:hAnsi="宋体"/>
          <w:bCs/>
        </w:rPr>
      </w:pPr>
      <w:r>
        <w:rPr>
          <w:rFonts w:hint="eastAsia" w:hAnsi="宋体"/>
          <w:bCs/>
        </w:rPr>
        <w:t>（1）成交供应商的保证金，在政府采购合同签订后5个工作日内退还。</w:t>
      </w:r>
    </w:p>
    <w:p>
      <w:pPr>
        <w:pStyle w:val="24"/>
        <w:adjustRightInd w:val="0"/>
        <w:snapToGrid w:val="0"/>
        <w:spacing w:beforeLines="50" w:line="360" w:lineRule="auto"/>
        <w:ind w:firstLine="420" w:firstLineChars="200"/>
        <w:rPr>
          <w:rFonts w:hAnsi="宋体"/>
          <w:bCs/>
        </w:rPr>
      </w:pPr>
      <w:r>
        <w:rPr>
          <w:rFonts w:hint="eastAsia" w:hAnsi="宋体"/>
          <w:bCs/>
        </w:rPr>
        <w:t>（2）未成交供应商的保证金，在成交通知书发出后5个工作日内退还。</w:t>
      </w:r>
    </w:p>
    <w:p>
      <w:pPr>
        <w:pStyle w:val="24"/>
        <w:adjustRightInd w:val="0"/>
        <w:snapToGrid w:val="0"/>
        <w:spacing w:beforeLines="50" w:line="360" w:lineRule="auto"/>
        <w:ind w:firstLine="420" w:firstLineChars="200"/>
        <w:rPr>
          <w:rFonts w:hAnsi="宋体"/>
          <w:bCs/>
        </w:rPr>
      </w:pPr>
      <w:r>
        <w:rPr>
          <w:rFonts w:hint="eastAsia" w:hAnsi="宋体"/>
          <w:bCs/>
        </w:rPr>
        <w:t>（3）终止竞争性谈判采购活动的，在发布项目终止公告后5个工作日内退还。</w:t>
      </w:r>
    </w:p>
    <w:p>
      <w:pPr>
        <w:pStyle w:val="24"/>
        <w:adjustRightInd w:val="0"/>
        <w:snapToGrid w:val="0"/>
        <w:spacing w:beforeLines="50" w:line="360" w:lineRule="auto"/>
        <w:ind w:firstLine="420" w:firstLineChars="200"/>
        <w:rPr>
          <w:rFonts w:hAnsi="宋体"/>
          <w:bCs/>
        </w:rPr>
      </w:pPr>
      <w:r>
        <w:rPr>
          <w:rFonts w:hint="eastAsia" w:hAnsi="宋体"/>
          <w:bCs/>
        </w:rPr>
        <w:t>11.5有下列情形之一的，保证金不予退还，并上缴本级财政国库：</w:t>
      </w:r>
    </w:p>
    <w:p>
      <w:pPr>
        <w:pStyle w:val="24"/>
        <w:adjustRightInd w:val="0"/>
        <w:snapToGrid w:val="0"/>
        <w:spacing w:beforeLines="50" w:line="360" w:lineRule="auto"/>
        <w:ind w:firstLine="420" w:firstLineChars="200"/>
        <w:rPr>
          <w:rFonts w:hAnsi="宋体"/>
          <w:bCs/>
        </w:rPr>
      </w:pPr>
      <w:r>
        <w:rPr>
          <w:rFonts w:hint="eastAsia" w:hAnsi="宋体"/>
          <w:bCs/>
        </w:rPr>
        <w:t>（1）供应商在提交响应文件截止时间后撤回响应文件的；</w:t>
      </w:r>
    </w:p>
    <w:p>
      <w:pPr>
        <w:pStyle w:val="24"/>
        <w:adjustRightInd w:val="0"/>
        <w:snapToGrid w:val="0"/>
        <w:spacing w:beforeLines="50" w:line="360" w:lineRule="auto"/>
        <w:ind w:firstLine="420" w:firstLineChars="200"/>
        <w:rPr>
          <w:rFonts w:hAnsi="宋体"/>
          <w:bCs/>
        </w:rPr>
      </w:pPr>
      <w:r>
        <w:rPr>
          <w:rFonts w:hint="eastAsia" w:hAnsi="宋体"/>
          <w:bCs/>
        </w:rPr>
        <w:t>（2）供应商在响应文件中提供虚假材料的；</w:t>
      </w:r>
    </w:p>
    <w:p>
      <w:pPr>
        <w:pStyle w:val="24"/>
        <w:adjustRightInd w:val="0"/>
        <w:snapToGrid w:val="0"/>
        <w:spacing w:beforeLines="50" w:line="360" w:lineRule="auto"/>
        <w:ind w:firstLine="420" w:firstLineChars="200"/>
        <w:rPr>
          <w:rFonts w:hAnsi="宋体"/>
          <w:bCs/>
        </w:rPr>
      </w:pPr>
      <w:r>
        <w:rPr>
          <w:rFonts w:hint="eastAsia" w:hAnsi="宋体"/>
          <w:bCs/>
        </w:rPr>
        <w:t xml:space="preserve">（3）除因不可抗力或谈判文件认可的情形以外，成交供应商不与采购人签订合同的； </w:t>
      </w:r>
    </w:p>
    <w:p>
      <w:pPr>
        <w:pStyle w:val="24"/>
        <w:adjustRightInd w:val="0"/>
        <w:snapToGrid w:val="0"/>
        <w:spacing w:beforeLines="50" w:line="360" w:lineRule="auto"/>
        <w:ind w:firstLine="420" w:firstLineChars="200"/>
        <w:rPr>
          <w:rFonts w:hAnsi="宋体"/>
          <w:bCs/>
        </w:rPr>
      </w:pPr>
      <w:r>
        <w:rPr>
          <w:rFonts w:hint="eastAsia" w:hAnsi="宋体"/>
          <w:bCs/>
        </w:rPr>
        <w:t xml:space="preserve">（4）供应商与采购人、其他供应商或者采购代理机构恶意串通的； </w:t>
      </w:r>
    </w:p>
    <w:p>
      <w:pPr>
        <w:pStyle w:val="24"/>
        <w:adjustRightInd w:val="0"/>
        <w:snapToGrid w:val="0"/>
        <w:spacing w:beforeLines="50" w:line="360" w:lineRule="auto"/>
        <w:ind w:firstLine="420" w:firstLineChars="200"/>
        <w:rPr>
          <w:rFonts w:hAnsi="宋体"/>
          <w:bCs/>
        </w:rPr>
      </w:pPr>
      <w:r>
        <w:rPr>
          <w:rFonts w:hint="eastAsia" w:hAnsi="宋体"/>
          <w:bCs/>
        </w:rPr>
        <w:t>（5）谈判文件规定的其他情形。</w:t>
      </w:r>
    </w:p>
    <w:p>
      <w:pPr>
        <w:pStyle w:val="8"/>
        <w:keepNext w:val="0"/>
        <w:keepLines w:val="0"/>
        <w:adjustRightInd w:val="0"/>
        <w:snapToGrid w:val="0"/>
        <w:spacing w:beforeLines="50" w:after="0" w:line="360" w:lineRule="auto"/>
        <w:rPr>
          <w:rFonts w:ascii="黑体" w:hAnsi="黑体"/>
          <w:sz w:val="24"/>
          <w:szCs w:val="24"/>
        </w:rPr>
      </w:pPr>
      <w:r>
        <w:rPr>
          <w:rFonts w:hint="eastAsia" w:ascii="黑体" w:hAnsi="黑体"/>
          <w:sz w:val="24"/>
          <w:szCs w:val="24"/>
        </w:rPr>
        <w:t>12.响应文件有效期</w:t>
      </w:r>
    </w:p>
    <w:p>
      <w:pPr>
        <w:pStyle w:val="24"/>
        <w:adjustRightInd w:val="0"/>
        <w:snapToGrid w:val="0"/>
        <w:spacing w:beforeLines="50" w:line="360" w:lineRule="auto"/>
        <w:ind w:firstLine="420" w:firstLineChars="200"/>
        <w:rPr>
          <w:rFonts w:hAnsi="宋体"/>
          <w:bCs/>
        </w:rPr>
      </w:pPr>
      <w:r>
        <w:rPr>
          <w:rFonts w:hint="eastAsia" w:hAnsi="宋体"/>
          <w:bCs/>
        </w:rPr>
        <w:t>12.1响应文件有效期见【谈判须知前附表】，在此期间响应文件对供应商具有法律约束力，从提交首次响应文件截止时间之日起计算。响应文件有效期不足的将被视为无效响应。</w:t>
      </w:r>
    </w:p>
    <w:p>
      <w:pPr>
        <w:pStyle w:val="8"/>
        <w:keepNext w:val="0"/>
        <w:keepLines w:val="0"/>
        <w:adjustRightInd w:val="0"/>
        <w:snapToGrid w:val="0"/>
        <w:spacing w:beforeLines="50" w:after="0" w:line="360" w:lineRule="auto"/>
        <w:rPr>
          <w:rFonts w:ascii="黑体" w:hAnsi="黑体"/>
          <w:sz w:val="24"/>
          <w:szCs w:val="24"/>
        </w:rPr>
      </w:pPr>
      <w:r>
        <w:rPr>
          <w:rFonts w:hint="eastAsia" w:ascii="黑体" w:hAnsi="黑体"/>
          <w:sz w:val="24"/>
          <w:szCs w:val="24"/>
        </w:rPr>
        <w:t>13.分包</w:t>
      </w:r>
    </w:p>
    <w:p>
      <w:pPr>
        <w:pStyle w:val="24"/>
        <w:adjustRightInd w:val="0"/>
        <w:snapToGrid w:val="0"/>
        <w:spacing w:beforeLines="50" w:line="360" w:lineRule="auto"/>
        <w:ind w:firstLine="420" w:firstLineChars="200"/>
        <w:rPr>
          <w:rFonts w:hAnsi="宋体"/>
          <w:bCs/>
        </w:rPr>
      </w:pPr>
      <w:r>
        <w:rPr>
          <w:rFonts w:hint="eastAsia" w:hAnsi="宋体"/>
          <w:bCs/>
        </w:rPr>
        <w:t>13.1供应商拟在成交后将采购项目的非主体、非关键性工作进行分包的，应符合【谈判须知前附表】规定的分包内容、分包金额和资质要求等限制性条件，并在响应文件中载明分包承担主体，且分包承担主体不得再次分包。</w:t>
      </w:r>
    </w:p>
    <w:p>
      <w:pPr>
        <w:pStyle w:val="24"/>
        <w:adjustRightInd w:val="0"/>
        <w:snapToGrid w:val="0"/>
        <w:spacing w:beforeLines="50" w:line="360" w:lineRule="auto"/>
        <w:ind w:firstLine="420" w:firstLineChars="200"/>
        <w:rPr>
          <w:rFonts w:hAnsi="宋体"/>
          <w:bCs/>
        </w:rPr>
      </w:pPr>
      <w:r>
        <w:rPr>
          <w:rFonts w:hint="eastAsia" w:hAnsi="宋体"/>
          <w:bCs/>
        </w:rPr>
        <w:t>13.2中小企业依据政府采购政策获取政府采购合同后，小型、微型企业不得分包给大型、中型企业，中型企业不得分包给大型企业。</w:t>
      </w:r>
    </w:p>
    <w:p>
      <w:pPr>
        <w:pStyle w:val="24"/>
        <w:adjustRightInd w:val="0"/>
        <w:snapToGrid w:val="0"/>
        <w:spacing w:beforeLines="50" w:line="360" w:lineRule="auto"/>
        <w:ind w:firstLine="420" w:firstLineChars="200"/>
        <w:rPr>
          <w:rFonts w:hAnsi="宋体"/>
          <w:bCs/>
        </w:rPr>
      </w:pPr>
      <w:r>
        <w:rPr>
          <w:rFonts w:hint="eastAsia" w:hAnsi="宋体"/>
          <w:bCs/>
        </w:rPr>
        <w:t>13.3成交供应商应当就分包项目向采购人负责，分包承担主体就分包项目承担连带责任。</w:t>
      </w:r>
    </w:p>
    <w:p>
      <w:pPr>
        <w:pStyle w:val="24"/>
        <w:adjustRightInd w:val="0"/>
        <w:snapToGrid w:val="0"/>
        <w:spacing w:beforeLines="50" w:line="360" w:lineRule="auto"/>
        <w:ind w:firstLine="420" w:firstLineChars="200"/>
        <w:rPr>
          <w:rFonts w:hAnsi="宋体"/>
          <w:bCs/>
        </w:rPr>
      </w:pPr>
      <w:r>
        <w:rPr>
          <w:rFonts w:hint="eastAsia" w:hAnsi="宋体"/>
          <w:bCs/>
        </w:rPr>
        <w:t>13.4不符合谈判文件中有关分包规定的，其响应无效。</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14.响应文件的签署及规定</w:t>
      </w:r>
    </w:p>
    <w:p>
      <w:pPr>
        <w:pStyle w:val="24"/>
        <w:adjustRightInd w:val="0"/>
        <w:snapToGrid w:val="0"/>
        <w:spacing w:beforeLines="50" w:line="360" w:lineRule="auto"/>
        <w:ind w:firstLine="420" w:firstLineChars="200"/>
        <w:rPr>
          <w:rFonts w:hAnsi="宋体"/>
          <w:bCs/>
        </w:rPr>
      </w:pPr>
      <w:r>
        <w:rPr>
          <w:rFonts w:hint="eastAsia" w:hAnsi="宋体"/>
          <w:bCs/>
        </w:rPr>
        <w:t>14.1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法定代表人（单位负责人）授权委托书。</w:t>
      </w:r>
    </w:p>
    <w:p>
      <w:pPr>
        <w:pStyle w:val="24"/>
        <w:adjustRightInd w:val="0"/>
        <w:snapToGrid w:val="0"/>
        <w:spacing w:beforeLines="50" w:line="360" w:lineRule="auto"/>
        <w:ind w:firstLine="420" w:firstLineChars="200"/>
        <w:rPr>
          <w:rFonts w:hAnsi="宋体"/>
          <w:bCs/>
        </w:rPr>
      </w:pPr>
      <w:r>
        <w:rPr>
          <w:rFonts w:hint="eastAsia" w:hAnsi="宋体"/>
          <w:bCs/>
        </w:rPr>
        <w:t>14.2响应文件正本一份，副本份数见【谈判须知前附表】；响应文件电子文档（U盘或光盘形式）：二份。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pPr>
        <w:pStyle w:val="24"/>
        <w:adjustRightInd w:val="0"/>
        <w:snapToGrid w:val="0"/>
        <w:spacing w:beforeLines="50" w:line="360" w:lineRule="auto"/>
        <w:ind w:firstLine="420" w:firstLineChars="200"/>
        <w:rPr>
          <w:rFonts w:hAnsi="宋体"/>
          <w:bCs/>
        </w:rPr>
      </w:pPr>
      <w:r>
        <w:rPr>
          <w:rFonts w:hint="eastAsia" w:hAnsi="宋体"/>
          <w:bCs/>
        </w:rPr>
        <w:t>14.3响应文件任何加行、涂改、增删等改动，改动之处应由供应商代表签字。否则，将导致响应文件无效。</w:t>
      </w:r>
    </w:p>
    <w:p>
      <w:pPr>
        <w:pStyle w:val="24"/>
        <w:adjustRightInd w:val="0"/>
        <w:snapToGrid w:val="0"/>
        <w:spacing w:beforeLines="50" w:line="360" w:lineRule="auto"/>
        <w:ind w:firstLine="420" w:firstLineChars="200"/>
        <w:rPr>
          <w:rFonts w:hAnsi="宋体"/>
          <w:bCs/>
        </w:rPr>
      </w:pPr>
      <w:r>
        <w:rPr>
          <w:rFonts w:hint="eastAsia" w:hAnsi="宋体"/>
          <w:bCs/>
        </w:rPr>
        <w:t>14.4在谈判过程中，供应商按谈判文件规定和谈判小组要求提交的最后报价(或者重新提交的响应文件和最后报价)，可打印或用不褪色材料书写，并经供应商代表签字，或者加盖供应商单位公章。否则，将导致响应文件无效。</w:t>
      </w:r>
    </w:p>
    <w:p>
      <w:pPr>
        <w:pStyle w:val="24"/>
        <w:adjustRightInd w:val="0"/>
        <w:snapToGrid w:val="0"/>
        <w:spacing w:beforeLines="50" w:line="360" w:lineRule="auto"/>
        <w:ind w:firstLine="420" w:firstLineChars="200"/>
        <w:rPr>
          <w:rFonts w:hAnsi="宋体"/>
          <w:bCs/>
        </w:rPr>
      </w:pPr>
      <w:r>
        <w:rPr>
          <w:rFonts w:hint="eastAsia" w:hAnsi="宋体"/>
          <w:bCs/>
        </w:rPr>
        <w:t>14.5为便于采购文件保存，响应文件电子文档建议为PDF格式，内容与纸质响应文件正本一致。</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30" w:name="_Toc15507"/>
      <w:r>
        <w:rPr>
          <w:rFonts w:hint="eastAsia" w:ascii="黑体" w:hAnsi="黑体" w:eastAsia="黑体"/>
          <w:sz w:val="28"/>
          <w:szCs w:val="28"/>
        </w:rPr>
        <w:t>四、响应文件的递交</w:t>
      </w:r>
      <w:bookmarkEnd w:id="30"/>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15.响应文件的密封和标记</w:t>
      </w:r>
    </w:p>
    <w:p>
      <w:pPr>
        <w:pStyle w:val="24"/>
        <w:adjustRightInd w:val="0"/>
        <w:snapToGrid w:val="0"/>
        <w:spacing w:beforeLines="50" w:line="360" w:lineRule="auto"/>
        <w:ind w:firstLine="420" w:firstLineChars="200"/>
        <w:rPr>
          <w:rFonts w:hAnsi="宋体"/>
          <w:bCs/>
        </w:rPr>
      </w:pPr>
      <w:r>
        <w:rPr>
          <w:rFonts w:hint="eastAsia" w:hAnsi="宋体"/>
          <w:bCs/>
        </w:rPr>
        <w:t>15.1响应文件应密封包装，以保证其响应文件信息在提交首次响应文件截止时间前不被透露。</w:t>
      </w:r>
    </w:p>
    <w:p>
      <w:pPr>
        <w:pStyle w:val="24"/>
        <w:adjustRightInd w:val="0"/>
        <w:snapToGrid w:val="0"/>
        <w:spacing w:beforeLines="50" w:line="360" w:lineRule="auto"/>
        <w:ind w:firstLine="420" w:firstLineChars="200"/>
        <w:rPr>
          <w:rFonts w:hAnsi="宋体"/>
          <w:bCs/>
        </w:rPr>
      </w:pPr>
      <w:r>
        <w:rPr>
          <w:rFonts w:hint="eastAsia" w:hAnsi="宋体"/>
          <w:bCs/>
        </w:rPr>
        <w:t>15.2响应文件封套上应写明的内容见【谈判须知前附表】。</w:t>
      </w:r>
    </w:p>
    <w:p>
      <w:pPr>
        <w:pStyle w:val="24"/>
        <w:adjustRightInd w:val="0"/>
        <w:snapToGrid w:val="0"/>
        <w:spacing w:beforeLines="50" w:line="360" w:lineRule="auto"/>
        <w:ind w:firstLine="420" w:firstLineChars="200"/>
        <w:rPr>
          <w:rFonts w:hAnsi="宋体"/>
          <w:bCs/>
        </w:rPr>
      </w:pPr>
      <w:r>
        <w:rPr>
          <w:rFonts w:hint="eastAsia" w:hAnsi="宋体"/>
          <w:bCs/>
        </w:rPr>
        <w:t>15.3响应文件如果未按本章第15.1款规定密封，采购人、采购代理机构将拒绝接收。</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16.响应文件的</w:t>
      </w:r>
      <w:r>
        <w:rPr>
          <w:rFonts w:hint="eastAsia" w:ascii="黑体" w:hAnsi="黑体" w:cs="宋体"/>
          <w:kern w:val="0"/>
          <w:sz w:val="24"/>
          <w:szCs w:val="24"/>
          <w:lang w:val="zh-CN"/>
        </w:rPr>
        <w:t>补充、修改或者撤回</w:t>
      </w:r>
    </w:p>
    <w:p>
      <w:pPr>
        <w:pStyle w:val="24"/>
        <w:adjustRightInd w:val="0"/>
        <w:snapToGrid w:val="0"/>
        <w:spacing w:beforeLines="50" w:line="360" w:lineRule="auto"/>
        <w:ind w:firstLine="420" w:firstLineChars="200"/>
        <w:rPr>
          <w:rFonts w:hAnsi="宋体"/>
          <w:bCs/>
        </w:rPr>
      </w:pPr>
      <w:r>
        <w:rPr>
          <w:rFonts w:hint="eastAsia" w:hAnsi="宋体"/>
          <w:bCs/>
        </w:rPr>
        <w:t>16.1供应商在提交首次响应文件截止时间前，可以对所提交的首次响应文件进行补充、修改或者撤回，并书面通知采购人、采购代理机构。该通知应有供应商代表签字。</w:t>
      </w:r>
    </w:p>
    <w:p>
      <w:pPr>
        <w:pStyle w:val="24"/>
        <w:adjustRightInd w:val="0"/>
        <w:snapToGrid w:val="0"/>
        <w:spacing w:beforeLines="50" w:line="360" w:lineRule="auto"/>
        <w:ind w:firstLine="420" w:firstLineChars="200"/>
        <w:rPr>
          <w:rFonts w:hAnsi="宋体"/>
          <w:bCs/>
        </w:rPr>
      </w:pPr>
      <w:r>
        <w:rPr>
          <w:rFonts w:hint="eastAsia" w:hAnsi="宋体"/>
          <w:bCs/>
        </w:rPr>
        <w:t>16.2</w:t>
      </w:r>
      <w:r>
        <w:rPr>
          <w:rFonts w:hint="eastAsia" w:hAnsi="宋体"/>
          <w:bCs/>
          <w:lang w:val="zh-CN"/>
        </w:rPr>
        <w:t>补充、修改的内容与响应文件不一致时，以补充、修改的内容为准。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17.响应文件的递交与接收</w:t>
      </w:r>
    </w:p>
    <w:p>
      <w:pPr>
        <w:pStyle w:val="24"/>
        <w:adjustRightInd w:val="0"/>
        <w:snapToGrid w:val="0"/>
        <w:spacing w:beforeLines="50" w:line="360" w:lineRule="auto"/>
        <w:ind w:firstLine="420" w:firstLineChars="200"/>
        <w:rPr>
          <w:rFonts w:hAnsi="宋体"/>
          <w:bCs/>
        </w:rPr>
      </w:pPr>
      <w:r>
        <w:rPr>
          <w:rFonts w:hint="eastAsia" w:hAnsi="宋体"/>
          <w:bCs/>
        </w:rPr>
        <w:t>17.1供应商应在【谈判须知前附表】规定的时间和地点提交响应文件。采购人、采购代理机构或者谈判小组拒收逾期送达的响应文件。</w:t>
      </w:r>
    </w:p>
    <w:p>
      <w:pPr>
        <w:pStyle w:val="24"/>
        <w:adjustRightInd w:val="0"/>
        <w:snapToGrid w:val="0"/>
        <w:spacing w:beforeLines="50" w:line="360" w:lineRule="auto"/>
        <w:ind w:firstLine="420" w:firstLineChars="200"/>
        <w:rPr>
          <w:rFonts w:hAnsi="宋体"/>
          <w:bCs/>
        </w:rPr>
      </w:pPr>
      <w:r>
        <w:rPr>
          <w:rFonts w:hint="eastAsia" w:hAnsi="宋体"/>
          <w:bCs/>
        </w:rPr>
        <w:t>17.2采购人、采购代理机构收到响应文件后，应当如实记载响应文件的送达时间和密封情况，签收保存，并向供应商出具包括以下信息的签收回执。任何单位和个人不得在提交首次响应文件截止时间前开启响应文件。</w:t>
      </w:r>
    </w:p>
    <w:p>
      <w:pPr>
        <w:pStyle w:val="24"/>
        <w:adjustRightInd w:val="0"/>
        <w:snapToGrid w:val="0"/>
        <w:spacing w:beforeLines="50" w:line="360" w:lineRule="auto"/>
        <w:ind w:firstLine="420" w:firstLineChars="200"/>
        <w:rPr>
          <w:rFonts w:hAnsi="宋体"/>
          <w:bCs/>
        </w:rPr>
      </w:pPr>
      <w:r>
        <w:rPr>
          <w:rFonts w:hint="eastAsia" w:hAnsi="宋体"/>
          <w:bCs/>
        </w:rPr>
        <w:t>（1）项目名称、采购代理编号；</w:t>
      </w:r>
    </w:p>
    <w:p>
      <w:pPr>
        <w:pStyle w:val="24"/>
        <w:adjustRightInd w:val="0"/>
        <w:snapToGrid w:val="0"/>
        <w:spacing w:beforeLines="50" w:line="360" w:lineRule="auto"/>
        <w:ind w:firstLine="420" w:firstLineChars="200"/>
        <w:rPr>
          <w:rFonts w:hAnsi="宋体"/>
          <w:bCs/>
        </w:rPr>
      </w:pPr>
      <w:r>
        <w:rPr>
          <w:rFonts w:hint="eastAsia" w:hAnsi="宋体"/>
          <w:bCs/>
        </w:rPr>
        <w:t>（2）供应商名称；</w:t>
      </w:r>
    </w:p>
    <w:p>
      <w:pPr>
        <w:pStyle w:val="24"/>
        <w:adjustRightInd w:val="0"/>
        <w:snapToGrid w:val="0"/>
        <w:spacing w:beforeLines="50" w:line="360" w:lineRule="auto"/>
        <w:ind w:firstLine="420" w:firstLineChars="200"/>
        <w:rPr>
          <w:rFonts w:hAnsi="宋体"/>
          <w:bCs/>
        </w:rPr>
      </w:pPr>
      <w:r>
        <w:rPr>
          <w:rFonts w:hint="eastAsia" w:hAnsi="宋体"/>
          <w:bCs/>
        </w:rPr>
        <w:t>（3）响应文件送达时间、地址；</w:t>
      </w:r>
    </w:p>
    <w:p>
      <w:pPr>
        <w:pStyle w:val="24"/>
        <w:adjustRightInd w:val="0"/>
        <w:snapToGrid w:val="0"/>
        <w:spacing w:beforeLines="50" w:line="360" w:lineRule="auto"/>
        <w:ind w:firstLine="420" w:firstLineChars="200"/>
        <w:rPr>
          <w:rFonts w:hAnsi="宋体"/>
          <w:bCs/>
        </w:rPr>
      </w:pPr>
      <w:r>
        <w:rPr>
          <w:rFonts w:hint="eastAsia" w:hAnsi="宋体"/>
          <w:bCs/>
        </w:rPr>
        <w:t>（4）响应文件密封情况；</w:t>
      </w:r>
    </w:p>
    <w:p>
      <w:pPr>
        <w:pStyle w:val="24"/>
        <w:adjustRightInd w:val="0"/>
        <w:snapToGrid w:val="0"/>
        <w:spacing w:beforeLines="50" w:line="360" w:lineRule="auto"/>
        <w:ind w:firstLine="420" w:firstLineChars="200"/>
        <w:rPr>
          <w:rFonts w:hAnsi="宋体"/>
          <w:bCs/>
        </w:rPr>
      </w:pPr>
      <w:r>
        <w:rPr>
          <w:rFonts w:hint="eastAsia" w:hAnsi="宋体"/>
          <w:bCs/>
        </w:rPr>
        <w:t>（5）采购人、采购代理机构名称；</w:t>
      </w:r>
    </w:p>
    <w:p>
      <w:pPr>
        <w:pStyle w:val="24"/>
        <w:adjustRightInd w:val="0"/>
        <w:snapToGrid w:val="0"/>
        <w:spacing w:beforeLines="50" w:line="360" w:lineRule="auto"/>
        <w:ind w:firstLine="420" w:firstLineChars="200"/>
        <w:rPr>
          <w:rFonts w:hAnsi="宋体"/>
          <w:bCs/>
        </w:rPr>
      </w:pPr>
      <w:r>
        <w:rPr>
          <w:rFonts w:hint="eastAsia" w:hAnsi="宋体"/>
          <w:bCs/>
        </w:rPr>
        <w:t>（6）采购人、采购代理机构接收人签字。</w:t>
      </w:r>
    </w:p>
    <w:p>
      <w:pPr>
        <w:pStyle w:val="24"/>
        <w:adjustRightInd w:val="0"/>
        <w:snapToGrid w:val="0"/>
        <w:spacing w:beforeLines="50" w:line="360" w:lineRule="auto"/>
        <w:ind w:firstLine="420" w:firstLineChars="200"/>
        <w:rPr>
          <w:rFonts w:hAnsi="宋体"/>
          <w:bCs/>
        </w:rPr>
      </w:pPr>
      <w:r>
        <w:rPr>
          <w:rFonts w:hint="eastAsia" w:hAnsi="宋体"/>
          <w:bCs/>
        </w:rPr>
        <w:t>17.3采购人、采购代理机构在按本章第25.3款规定公布供应商的最后报价前，不公开供应商的技术资料、价格和其他信息。</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31" w:name="_Toc7419"/>
      <w:r>
        <w:rPr>
          <w:rFonts w:hint="eastAsia" w:ascii="黑体" w:hAnsi="黑体" w:eastAsia="黑体"/>
          <w:sz w:val="28"/>
          <w:szCs w:val="28"/>
        </w:rPr>
        <w:t>五、响应文件的评审与谈判</w:t>
      </w:r>
      <w:bookmarkEnd w:id="31"/>
    </w:p>
    <w:p>
      <w:pPr>
        <w:pStyle w:val="8"/>
        <w:keepNext w:val="0"/>
        <w:keepLines w:val="0"/>
        <w:adjustRightInd w:val="0"/>
        <w:snapToGrid w:val="0"/>
        <w:spacing w:before="50" w:after="0" w:line="360" w:lineRule="auto"/>
        <w:rPr>
          <w:rFonts w:ascii="黑体" w:hAnsi="黑体"/>
          <w:color w:val="000000" w:themeColor="text1"/>
          <w:sz w:val="24"/>
          <w:szCs w:val="24"/>
        </w:rPr>
      </w:pPr>
      <w:r>
        <w:rPr>
          <w:rFonts w:hint="eastAsia" w:ascii="黑体" w:hAnsi="黑体"/>
          <w:sz w:val="24"/>
          <w:szCs w:val="24"/>
        </w:rPr>
        <w:t>18.供应商资格</w:t>
      </w:r>
      <w:r>
        <w:rPr>
          <w:rFonts w:hint="eastAsia" w:ascii="黑体" w:hAnsi="黑体"/>
          <w:color w:val="000000" w:themeColor="text1"/>
          <w:sz w:val="24"/>
          <w:szCs w:val="24"/>
        </w:rPr>
        <w:t>复核</w:t>
      </w:r>
    </w:p>
    <w:p>
      <w:pPr>
        <w:pStyle w:val="24"/>
        <w:adjustRightInd w:val="0"/>
        <w:snapToGrid w:val="0"/>
        <w:spacing w:beforeLines="50" w:line="360" w:lineRule="auto"/>
        <w:ind w:firstLine="420" w:firstLineChars="200"/>
        <w:rPr>
          <w:rFonts w:hAnsi="宋体"/>
          <w:bCs/>
        </w:rPr>
      </w:pPr>
      <w:r>
        <w:rPr>
          <w:rFonts w:hint="eastAsia" w:hAnsi="宋体"/>
          <w:bCs/>
          <w:lang w:val="zh-CN"/>
        </w:rPr>
        <w:t>18.1</w:t>
      </w:r>
      <w:r>
        <w:rPr>
          <w:rFonts w:hint="eastAsia" w:hAnsi="宋体"/>
          <w:bCs/>
        </w:rPr>
        <w:t>被邀请的供应商在提交资格证明材料起至提交首次响应文件止，其资格条件发生变化，影响或者可能影响资格条件的，应随响应文件提供更新或者补充的资格证明材料，以证实其各项条件仍能继续满足本章第3.1</w:t>
      </w:r>
      <w:r>
        <w:rPr>
          <w:rFonts w:hint="eastAsia" w:hAnsi="宋体"/>
          <w:bCs/>
          <w:lang w:val="zh-CN"/>
        </w:rPr>
        <w:t>款</w:t>
      </w:r>
      <w:r>
        <w:rPr>
          <w:rFonts w:hint="eastAsia" w:hAnsi="宋体"/>
          <w:bCs/>
        </w:rPr>
        <w:t>规定的供应商资格条件要求。</w:t>
      </w:r>
    </w:p>
    <w:p>
      <w:pPr>
        <w:pStyle w:val="24"/>
        <w:adjustRightInd w:val="0"/>
        <w:snapToGrid w:val="0"/>
        <w:spacing w:beforeLines="50" w:line="360" w:lineRule="auto"/>
        <w:ind w:firstLine="420" w:firstLineChars="200"/>
        <w:rPr>
          <w:rFonts w:hAnsi="宋体"/>
          <w:bCs/>
        </w:rPr>
      </w:pPr>
      <w:r>
        <w:rPr>
          <w:rFonts w:hint="eastAsia" w:hAnsi="宋体"/>
          <w:bCs/>
        </w:rPr>
        <w:t>18.2除上</w:t>
      </w:r>
      <w:r>
        <w:rPr>
          <w:rFonts w:hint="eastAsia" w:hAnsi="宋体"/>
          <w:bCs/>
          <w:lang w:val="zh-CN"/>
        </w:rPr>
        <w:t>款规定的</w:t>
      </w:r>
      <w:r>
        <w:rPr>
          <w:rFonts w:hint="eastAsia" w:hAnsi="宋体"/>
          <w:bCs/>
        </w:rPr>
        <w:t>情形外，采购人、采购代理机构不再对供应商进行资格审查。</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19.谈判小组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19.1谈判小组由采购人代表和评审专家组成。</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19.2谈判小组成员有下列情形之一的，应当回避：</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（1）参加采购活动前 3 年内与供应商存在劳动关系；</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（2）参加采购活动前 3 年内担任供应商的董事、监事；</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（3）参加采购活动前 3 年内是供应商的控股股东或者实际控制人；</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（4）与供应商的法定代表人或者负责人有夫妻、直系血亲、三代以内旁系血</w:t>
      </w:r>
      <w:r>
        <w:rPr>
          <w:rFonts w:hint="eastAsia" w:hAnsi="宋体"/>
          <w:bCs/>
          <w:lang w:val="zh-CN"/>
        </w:rPr>
        <w:br w:type="textWrapping"/>
      </w:r>
      <w:r>
        <w:rPr>
          <w:rFonts w:hint="eastAsia" w:hAnsi="宋体"/>
          <w:bCs/>
          <w:lang w:val="zh-CN"/>
        </w:rPr>
        <w:t>亲或者近姻亲关系；</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（5）与供应商有其他可能影响政府采购活动公平、公正进行的关系。</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20.3谈判小组成员应当按照客观、公正、审慎的原则，根据谈判文件规定的评审程序、评审方法和评审标准进行独立评审。</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20.谈判程序</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20.1谈判程序：谈判（响应文件审查、澄清）、最后报价、提出成交供应商。其中，谈判按本章第23条进行。</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20.2谈判小组应当对响应文件进行评审，并根据谈判文件规定的程序、评定成交的标准等事项与实质性响应谈判文件要求的供应商进行谈判。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20.3在谈判过程中谈判的任何一方不得向他人透露与谈判有关的技术资料、价格或其他信息。</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21.响应文件审查</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21.1谈判小组对响应文件(包括首次提交的响应文件、重新提交的响应文件)的有效性、完整性和对谈判文件的响应程度进行审查。</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21.2响应文件有下列情况之一，响应文件按无效处理，谈判小组应当告知有关供应商。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（1）应交未交保证金或金额不足、保证金形式不符合谈判文件要求的；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（2）未按照谈判文件规定要求签署、盖章的；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（3）不满足谈判文件规定的实质性要求和条件的；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（4）法律、法规和谈判文件规定的其他响应无效情形。</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21.3响应文件按无效处理的，谈判小组应拒绝其参与谈判，但属于谈判文件规定的实质性变动内容的除外。</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21.4谈判文件规定的实质性要求和条件见【谈判须知前附表】。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22.澄清</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22.1谈判小组在对响应文件(包括首次提交的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23.谈判的规定</w:t>
      </w:r>
    </w:p>
    <w:p>
      <w:pPr>
        <w:pStyle w:val="24"/>
        <w:adjustRightInd w:val="0"/>
        <w:snapToGrid w:val="0"/>
        <w:spacing w:beforeLines="50" w:line="360" w:lineRule="auto"/>
        <w:ind w:firstLine="420" w:firstLineChars="200"/>
        <w:rPr>
          <w:rFonts w:hAnsi="宋体"/>
          <w:bCs/>
          <w:lang w:val="zh-CN"/>
        </w:rPr>
      </w:pPr>
      <w:r>
        <w:rPr>
          <w:rFonts w:hint="eastAsia" w:hAnsi="宋体"/>
          <w:bCs/>
        </w:rPr>
        <w:t>2</w:t>
      </w:r>
      <w:r>
        <w:rPr>
          <w:rFonts w:hint="eastAsia" w:hAnsi="宋体"/>
          <w:bCs/>
          <w:lang w:val="zh-CN"/>
        </w:rPr>
        <w:t>3.1在谈判过程中，谈判小组所有成员集中与单一供应商分别进行谈判，并给予所有参加谈判的供应商平等的谈判机会。供应商应派其代表参加谈判。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23.2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23.3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24.退出谈判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24.1供应商在提交最后报价之前，可以根据谈判情况退出谈判，并书面通知采购人、采购代理机构或者谈判小组。该通知由供应商代表签字。采购人、采购代理机构按本章第11.4款规定退还退出谈判的供应商的保证金。</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24.2供应商参与谈判，但未提交最后报价又未按前款规定退出谈判的，保证金不予退还。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25.最后报价</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25.1谈判结束后，谈判小组按本章第21.2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（1）谈判文件能够详细列明采购需求的技术、服务要求的，谈判结束后，谈判小组应当要求所有供应商在规定时间内提交最后报价。</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25.2下列情形，谈判小组确认符合谈判文件规定的实质性要求和条件的供应商不少于3家，可以不与供应商谈判，直接要求符合谈判文件规定的实质性要求和条件的供应商提交最后报价。</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（1）谈判文件未明确可能实质性变动的；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（2）谈判文件明确可能实质性变动，但谈判小组对供应商提交的首次响应文件的有效性、完整性和响应程度进行审查后，认为谈判文件不需发生实质性变动、不需要谈判的。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25.3谈判小组应召集所有提交最后报价的供应商，逐一公布供应商的最后报价，由采购人、采购代理机构负责记录，并由供应商代表签字确认后随采购文件一并存档。</w:t>
      </w:r>
    </w:p>
    <w:p>
      <w:pPr>
        <w:pStyle w:val="8"/>
        <w:adjustRightInd w:val="0"/>
        <w:snapToGrid w:val="0"/>
        <w:spacing w:before="50" w:after="0" w:line="360" w:lineRule="auto"/>
        <w:rPr>
          <w:rFonts w:ascii="黑体" w:hAnsi="黑体" w:cs="宋体"/>
          <w:kern w:val="0"/>
          <w:sz w:val="24"/>
          <w:szCs w:val="24"/>
        </w:rPr>
      </w:pPr>
      <w:r>
        <w:rPr>
          <w:rFonts w:hint="eastAsia" w:ascii="黑体" w:hAnsi="黑体"/>
          <w:sz w:val="24"/>
          <w:szCs w:val="24"/>
        </w:rPr>
        <w:t>26.不合理报价</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26．1谈判小组认为供应商的报价明显低于其他通过符合性审查供应商的报价，有可能影响产品质量或者不能诚信履约的，应当要求其在谈判现场合理的时间内提供书面说明，必要时提交相关证明材料；供应商不能证明其报价合理性的，谈判小组应当将其作为响应无效处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cs="宋体"/>
          <w:kern w:val="0"/>
          <w:sz w:val="24"/>
          <w:szCs w:val="24"/>
        </w:rPr>
        <w:t>27.</w:t>
      </w:r>
      <w:r>
        <w:rPr>
          <w:rFonts w:hint="eastAsia" w:ascii="黑体" w:hAnsi="黑体"/>
          <w:sz w:val="24"/>
          <w:szCs w:val="24"/>
        </w:rPr>
        <w:t>提出成交供应商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27.1谈判小组应当从质量和服务均能满足采购文件实质性响应要求的供应商中，按照最后报价由低到高的顺序提出3名以上成交候选人，并编写评审报告。</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供应商最后报价涉及算术修正、需落实政府采购政策的，按上款规定由低到高的顺序排序。最后报价排序相同的并列。</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27.2最后报价有算术错误的，除【谈判须知前附表】另有规定外，谈判小组按以下原则对报价进行修正，修正的价格经供应商书面确认，并由供应商代表签字或者加盖单位公章确认后产生约束力，供应商不接受修正价格的，其报价作无效报价处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（1）大写金额与小写金额不一致的，以大写金额为准。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（2）总价金额与按单价汇总金额不一致的，以单价金额计算结果为准。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修正后的报价由供应商代表签字或者加盖单位公章确认后产生约束力，不确认的，其报价无效。</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27.3最后报价的评审</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（1）如果有算术错误，最后报价将按上款规定进行算术修正。</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（2）需落实政府采购政策（优先采购、价格评审优惠）的，按本章本节第39、40条等相关规定进行价格扣除。</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28.确定成交供应商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28.1采购代理机构应当在评审结束后2个工作日内将评审报告送采购人确认。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28.2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28.3成交候选人并列的，由采购人自行确定成交供应商。</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29.谈判的特殊情形</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29.1对于经公开招标的货物、服务采购项目，招标过程中提交投标文件或者经评审实质性响应招标文件要求的供应商只有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29.2符合上款情形的，本章本节相关条款规定的供应商最低数量可以为两家。</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30.谈判终止</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 xml:space="preserve">30.1出现下列情形之一的，采购人、采购代理机构应当终止竞争性谈判采购活动，在指定的媒体上发布项目终止公告并说明原因，重新开展采购活动： </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（1）因情况变化，不再符合规定的竞争性谈判采购方式适用情形的；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（2）出现影响采购公正的违法、违规行为的；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（3）在采购过程中符合竞争要求的供应商或者报价未超过采购预算的供应商不足3家的，或者提交最后报价的供应商少于3家的；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（4）因重大变故，采购任务取消的。</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31.重新评审</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31.1除资格性审查认定错误和价格计算错误外，采购人、采购代理机构不以任何理由组织重新评审。</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采购人、采购代理机构发现谈判小组未按照谈判文件规定的评定成交的标准进行评审的，应当重新开展采购活动，并同时书面报告本级财政部门。</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32.保密及串通行为</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32.1谈判小组成员以及与评审工作有关的人员不得泄露评审情况以及评审过程中获悉的国家秘密、商业秘密。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32.2供应商不得与采购人、采购代理机构、其他供应商恶意串通；不得向采购人、采购代理机构或者谈判小组成员行贿或者提供其他不正当利益；不得提供虚假材料谋取成交；不得以任何方式干扰、影响采购工作。</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32.3有下列情形之一的，属于恶意串通，成交无效，并依照《政府采购法》第七十七条的规定追究法律责任：</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（1）供应商直接或者间接从采购人、采购代理机构获得其他供应商的响应情况，并修改其响应文件的；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（2）采购人、采购代理机构授意供应商撤换、修改响应文件的；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（3）供应商之间协商技术方案、合同条款以及报价等响应文件实质性内容的；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（4）属于同一集团、协会、商会等组织成员的供应商按照该组织要求协同参加竞争性谈判政府采购活动的；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（5）供应商之间事先约定由某一特定供应商成交的；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（6）供应商之间商定部分供应商放弃提交响应文件或者退出谈判或者放弃成交的；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（7）供应商与采购人、采购代理机构以及谈判小组成员之间、供应商相互之间，为谋求特定供应商成交或者排斥其他供应商的其他串通行为的。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（8）法律、行政法规或规章规定的其他串通行为。</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32" w:name="_Toc14107"/>
      <w:r>
        <w:rPr>
          <w:rFonts w:hint="eastAsia" w:ascii="黑体" w:hAnsi="黑体" w:eastAsia="黑体"/>
          <w:sz w:val="28"/>
          <w:szCs w:val="28"/>
        </w:rPr>
        <w:t>六、成交结果信息公布与授予合同</w:t>
      </w:r>
      <w:bookmarkEnd w:id="32"/>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33.成交信息的公布</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33.1成交供应商确定后2个工作日内，采购人、采购代理机构应将成交结果信息在【谈判须知前附表】指定的媒体上公布。</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34.询问及质疑</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34.1供应商对政府采购活动事项有疑问的，可以向采购人、采购代理机构提出询问。</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34.2供应商若认为谈判文件、采购过程和成交结果使自己的权益受到损害，可以按法律、规章及《湖南省财政厅关于印发＜政府采购质疑答复和投诉处理操作规程＞的通知》(湘财购〔2019〕20号)文件规定向采购人、采购代理机构提出质疑。</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35.成交通知</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35.1成交供应商确定后，采购人、采购代理机构将以书面形式向成交供应商发出成交通知书。成交通知书对采购人和成交供应商具有同等法律效力。</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35.2成交通知书是合同文件的组成部分。</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35.3谈判文件要求成交供应商向采购人提交履约担保的，成交供应商应按照【谈判须知前附表】的规定提交。联合体成交的，履约担保由联合体各方或联合体中牵头人的名义提交。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35.4成交供应商没有按照本章第35.3款规定提交履约担保的，视为放弃成交资格，其保证金不予退还。</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36.签订合同</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36.1谈判文件、成交供应商的响应文件及其补充的响应文件等均为签订政府采购合同的依据。</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36.2成交供应商应当在成交通知书发出之日起30日内与采购人签订政府采购合同。</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36.3成交供应商应当按照合同约定履行义务。成交供应商不得向他人转让成交项目，也不得将成交项目分包后分别向他人转让。</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36.4成交供应商有下列情形之一的，责令限期改正，情节严重的，列入不良行为记录名单，在1至3年内禁止参加政府采购活动，并予以通报：</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（一）成交后无正当理由不与采购人签订合同的；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（二）未按照采购文件确定的事项签订政府采购合同，或者与采购人另行订立背离合同实质性内容的协议的；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（三）拒绝履行合同义务的；</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（四）违反法律、规章、规范性文件规定的。</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33" w:name="_Toc1123"/>
      <w:bookmarkStart w:id="34" w:name="_Toc22201076"/>
      <w:r>
        <w:rPr>
          <w:rFonts w:hint="eastAsia" w:ascii="黑体" w:hAnsi="黑体" w:eastAsia="黑体"/>
          <w:sz w:val="28"/>
          <w:szCs w:val="28"/>
        </w:rPr>
        <w:t>七、政府采购政策</w:t>
      </w:r>
      <w:bookmarkEnd w:id="33"/>
      <w:bookmarkEnd w:id="34"/>
    </w:p>
    <w:p>
      <w:pPr>
        <w:pStyle w:val="8"/>
        <w:adjustRightInd w:val="0"/>
        <w:snapToGrid w:val="0"/>
        <w:spacing w:before="50"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37.政府采购政策</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37.1强制采购：</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（1）纳入财政部会同国务院有关部门发布的节能产品政府采购品目清单，实施政府强制采购的（品目清单标注</w:t>
      </w:r>
      <w:r>
        <w:rPr>
          <w:rFonts w:hint="eastAsia" w:hAnsi="宋体"/>
          <w:bCs/>
          <w:lang w:val="zh-CN"/>
        </w:rPr>
        <w:sym w:font="Wingdings" w:char="F0AB"/>
      </w:r>
      <w:r>
        <w:rPr>
          <w:rFonts w:hint="eastAsia" w:hAnsi="宋体"/>
          <w:bCs/>
          <w:lang w:val="zh-CN"/>
        </w:rPr>
        <w:t>符号产品），供应商提供的产品应当取得国家确定的认证机构出具的、处于有效期之内的节能产品认证证书，否则其响应无效。</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37.2优先采购：</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（1）对纳入财政部会同国务院有关部门发布的节能产品、环境标志产品政府采购品目清单，实施政府优先采购的，评审时按【谈判须知前附表】规定给予价格折扣；</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（2）对纳入湖南省财政厅等有关部门发布的湖南省两型产品政府采购目录的，实施政府优先采购，评审时按【谈判须知前附表】规定给予价格折扣。</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37.3价格评审优惠：</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供应商为小型、微型企业，且提供本企业生产的货物或者提供其他小型、微型企业生产的货物，价格按【谈判须知前附表】规定给予价格折扣，用扣除后的价格参与评审。本项所称货物不包括使用大型企业注册商标的货物；</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（2）小型、微型企业参加联合体并在联合体协议中明确其在合同金额占联合体合同总金额 30%以上的，该联合体价格按【谈判须知前附表】规定给予价格折扣，用扣除后的价格参与评审。联合体各方均为小型、微型企业的，联合体视同为小型、微型企业；</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（3）监狱企业、残疾人福利性单位视同小型、微型企业，享受评审中价格扣除等促进中小企业发展的政府采购政策。</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37.4政府采购政策交叉与叠加</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（1）供应商提供的产品取得两个及以上优先采购产品认证的，评审时只有其中一项产品能够享受优先采购优惠（供应商自行选择，并在响应文件中并填报相关信息及数据）</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（2）供应商同时符合小型、微型企业及监狱企业、残疾人福利性单位要求的，评审时只有一种类型享受价格评审优惠政策；</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（3）小型和微型企业的价格评审优惠可以与同时属于“节能产品”、“环境标志产品”及“两型产品”中的一项优先采购优惠累加计算。</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37.5小型、微型企业的供应商提供部分小型、微型企业制造的产品，以及部分产品属于优先采购的，评审时只对该部分产品的报价实行价格扣除。</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37.6响应文件符合本章第37.1款、第37.2款、第37.3款规定的，供应商应提供相关证明资料。</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（1）节能产品、环境标志产品：提供国家确定的认证机构出具的、处于有效期之内的节能产品、环境标志产品认证证书（复印件）。</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（2）两型产品：提供《湖南省两型产品政府采购目录》（最新一期）文件首页和产品所在页（截图）。</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（3）中小企业：按《关于印发＜政府采购促进中小企业发展暂行办法＞的通知》(财库[2011]181号)规定，提供《小型、微型企业声明函》（格式）。</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（4）监狱企业：按《关于政府采购支持监狱企业发展有关问题的通知》(财库〔2014〕68号)文件规定提供证明文件（复印件）。</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（5）残疾人福利性单位：按《关于促进残疾人就业政府采购政策的通知》(财库〔2017〕141号)文件规定提供《残疾人福利性单位声明函》（格式）。</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37.7进口产品是指符合《政府采购进口产品管理办法》（财库〔2007〕119号）和《关于政府采购进口产品管理有关问题的通知》（财办库〔2008〕248号）文件规定的产品。除【谈判须知前附表】另有规定外，采购项目拒绝进口产品参加谈判。本款规定同意购买进口产品的，不限制满足谈判文件要求的国内产品参与谈判竞争。</w:t>
      </w:r>
    </w:p>
    <w:p>
      <w:pPr>
        <w:pStyle w:val="24"/>
        <w:adjustRightInd w:val="0"/>
        <w:snapToGrid w:val="0"/>
        <w:spacing w:beforeLines="50" w:line="360" w:lineRule="auto"/>
        <w:ind w:firstLine="420" w:firstLineChars="200"/>
        <w:rPr>
          <w:rFonts w:asciiTheme="minorEastAsia" w:hAnsiTheme="minorEastAsia" w:eastAsiaTheme="minorEastAsia"/>
        </w:rPr>
      </w:pPr>
      <w:r>
        <w:rPr>
          <w:rFonts w:hint="eastAsia" w:hAnsi="宋体"/>
          <w:bCs/>
          <w:lang w:val="zh-CN"/>
        </w:rPr>
        <w:t>37.8供应商有融资、担保需求的，可登陆中国湖南政府采购网查询相关银行、担保机构业务</w:t>
      </w:r>
      <w:r>
        <w:rPr>
          <w:rFonts w:hint="eastAsia" w:asciiTheme="minorEastAsia" w:hAnsiTheme="minorEastAsia" w:eastAsiaTheme="minorEastAsia"/>
        </w:rPr>
        <w:t>。</w:t>
      </w:r>
    </w:p>
    <w:p>
      <w:pPr>
        <w:pStyle w:val="7"/>
        <w:keepNext w:val="0"/>
        <w:keepLines w:val="0"/>
        <w:adjustRightInd w:val="0"/>
        <w:snapToGrid w:val="0"/>
        <w:spacing w:beforeLines="50" w:after="0" w:line="360" w:lineRule="auto"/>
        <w:jc w:val="center"/>
        <w:rPr>
          <w:rFonts w:ascii="黑体" w:hAnsi="黑体" w:eastAsia="黑体"/>
          <w:sz w:val="28"/>
          <w:szCs w:val="28"/>
        </w:rPr>
      </w:pPr>
      <w:bookmarkStart w:id="35" w:name="_Toc8321"/>
      <w:r>
        <w:rPr>
          <w:rFonts w:hint="eastAsia" w:ascii="黑体" w:hAnsi="黑体" w:eastAsia="黑体"/>
          <w:sz w:val="28"/>
          <w:szCs w:val="28"/>
        </w:rPr>
        <w:t>八、其他规定</w:t>
      </w:r>
      <w:bookmarkEnd w:id="35"/>
    </w:p>
    <w:p>
      <w:pPr>
        <w:pStyle w:val="8"/>
        <w:keepNext w:val="0"/>
        <w:keepLines w:val="0"/>
        <w:adjustRightInd w:val="0"/>
        <w:snapToGrid w:val="0"/>
        <w:spacing w:before="50" w:after="0" w:line="360" w:lineRule="auto"/>
        <w:rPr>
          <w:rFonts w:ascii="宋体" w:hAnsi="宋体" w:eastAsia="宋体"/>
          <w:sz w:val="24"/>
          <w:szCs w:val="24"/>
        </w:rPr>
      </w:pPr>
      <w:r>
        <w:rPr>
          <w:rFonts w:hint="eastAsia" w:ascii="宋体" w:hAnsi="宋体" w:eastAsia="宋体"/>
          <w:sz w:val="24"/>
          <w:szCs w:val="24"/>
        </w:rPr>
        <w:t>38.代理服务费</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38.1采购代理服务费由成交供应商支付的，供应商应按【谈判须知前附表】规定向采购代理机构交纳代理服务费，并在谈判文件中提供代理服务费承诺书。</w:t>
      </w:r>
    </w:p>
    <w:p>
      <w:pPr>
        <w:pStyle w:val="8"/>
        <w:keepNext w:val="0"/>
        <w:keepLines w:val="0"/>
        <w:adjustRightInd w:val="0"/>
        <w:snapToGrid w:val="0"/>
        <w:spacing w:before="50" w:after="0" w:line="360" w:lineRule="auto"/>
        <w:rPr>
          <w:rFonts w:ascii="黑体" w:hAnsi="黑体"/>
          <w:sz w:val="24"/>
          <w:szCs w:val="24"/>
        </w:rPr>
      </w:pPr>
      <w:r>
        <w:rPr>
          <w:rFonts w:hint="eastAsia" w:ascii="黑体" w:hAnsi="黑体"/>
          <w:sz w:val="24"/>
          <w:szCs w:val="24"/>
        </w:rPr>
        <w:t>39.其他规定</w:t>
      </w:r>
    </w:p>
    <w:p>
      <w:pPr>
        <w:pStyle w:val="24"/>
        <w:adjustRightInd w:val="0"/>
        <w:snapToGrid w:val="0"/>
        <w:spacing w:beforeLines="50" w:line="360" w:lineRule="auto"/>
        <w:ind w:firstLine="420" w:firstLineChars="200"/>
        <w:rPr>
          <w:rFonts w:hAnsi="宋体"/>
          <w:bCs/>
          <w:lang w:val="zh-CN"/>
        </w:rPr>
      </w:pPr>
      <w:r>
        <w:rPr>
          <w:rFonts w:hint="eastAsia" w:hAnsi="宋体"/>
          <w:bCs/>
          <w:lang w:val="zh-CN"/>
        </w:rPr>
        <w:t>39.1谈判文件的其他规定见【谈判须知前附表】。</w:t>
      </w:r>
    </w:p>
    <w:p>
      <w:pPr>
        <w:pStyle w:val="5"/>
        <w:rPr>
          <w:rFonts w:ascii="黑体" w:hAnsi="黑体" w:eastAsia="黑体"/>
          <w:sz w:val="32"/>
          <w:szCs w:val="32"/>
        </w:rPr>
      </w:pPr>
      <w:r>
        <w:rPr>
          <w:rFonts w:ascii="宋体" w:hAnsi="宋体"/>
          <w:szCs w:val="21"/>
        </w:rPr>
        <w:br w:type="page"/>
      </w:r>
      <w:bookmarkStart w:id="36" w:name="_Toc31607"/>
      <w:r>
        <w:rPr>
          <w:rFonts w:hint="eastAsia" w:ascii="黑体" w:hAnsi="黑体" w:eastAsia="黑体"/>
          <w:sz w:val="32"/>
          <w:szCs w:val="32"/>
        </w:rPr>
        <w:t>第三章 采购需求</w:t>
      </w:r>
      <w:bookmarkEnd w:id="36"/>
    </w:p>
    <w:p>
      <w:pPr>
        <w:pStyle w:val="6"/>
        <w:adjustRightInd w:val="0"/>
        <w:snapToGrid w:val="0"/>
        <w:spacing w:beforeLines="50"/>
        <w:jc w:val="center"/>
        <w:rPr>
          <w:rFonts w:ascii="黑体" w:hAnsi="黑体" w:eastAsia="黑体"/>
          <w:sz w:val="28"/>
          <w:szCs w:val="28"/>
        </w:rPr>
      </w:pPr>
      <w:bookmarkStart w:id="37" w:name="_Toc27412"/>
      <w:r>
        <w:rPr>
          <w:rFonts w:hint="eastAsia" w:ascii="黑体" w:hAnsi="黑体" w:eastAsia="黑体"/>
          <w:sz w:val="28"/>
          <w:szCs w:val="28"/>
        </w:rPr>
        <w:t>第一节 采购清单一览表</w:t>
      </w:r>
      <w:bookmarkEnd w:id="37"/>
    </w:p>
    <w:tbl>
      <w:tblPr>
        <w:tblStyle w:val="43"/>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1269"/>
        <w:gridCol w:w="2820"/>
        <w:gridCol w:w="1215"/>
        <w:gridCol w:w="1065"/>
        <w:gridCol w:w="1305"/>
        <w:gridCol w:w="79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98" w:hRule="atLeast"/>
        </w:trPr>
        <w:tc>
          <w:tcPr>
            <w:tcW w:w="429" w:type="dxa"/>
            <w:vAlign w:val="center"/>
          </w:tcPr>
          <w:p>
            <w:pPr>
              <w:adjustRightInd w:val="0"/>
              <w:snapToGrid w:val="0"/>
              <w:spacing w:line="360" w:lineRule="auto"/>
              <w:jc w:val="center"/>
              <w:rPr>
                <w:szCs w:val="21"/>
              </w:rPr>
            </w:pPr>
            <w:r>
              <w:rPr>
                <w:rFonts w:hint="eastAsia"/>
                <w:szCs w:val="21"/>
              </w:rPr>
              <w:t xml:space="preserve">序号 </w:t>
            </w:r>
          </w:p>
        </w:tc>
        <w:tc>
          <w:tcPr>
            <w:tcW w:w="1269" w:type="dxa"/>
            <w:vAlign w:val="center"/>
          </w:tcPr>
          <w:p>
            <w:pPr>
              <w:adjustRightInd w:val="0"/>
              <w:snapToGrid w:val="0"/>
              <w:spacing w:line="360" w:lineRule="auto"/>
              <w:jc w:val="center"/>
              <w:rPr>
                <w:szCs w:val="21"/>
              </w:rPr>
            </w:pPr>
            <w:r>
              <w:rPr>
                <w:rFonts w:hint="eastAsia"/>
                <w:szCs w:val="21"/>
              </w:rPr>
              <w:t>包名称</w:t>
            </w:r>
          </w:p>
        </w:tc>
        <w:tc>
          <w:tcPr>
            <w:tcW w:w="2820" w:type="dxa"/>
            <w:vAlign w:val="center"/>
          </w:tcPr>
          <w:p>
            <w:pPr>
              <w:adjustRightInd w:val="0"/>
              <w:snapToGrid w:val="0"/>
              <w:spacing w:line="360" w:lineRule="auto"/>
              <w:jc w:val="center"/>
              <w:rPr>
                <w:szCs w:val="21"/>
              </w:rPr>
            </w:pPr>
            <w:r>
              <w:rPr>
                <w:rFonts w:hint="eastAsia"/>
                <w:szCs w:val="21"/>
              </w:rPr>
              <w:t>分项项目名称</w:t>
            </w:r>
          </w:p>
          <w:p>
            <w:pPr>
              <w:adjustRightInd w:val="0"/>
              <w:snapToGrid w:val="0"/>
              <w:spacing w:line="360" w:lineRule="auto"/>
              <w:jc w:val="center"/>
              <w:rPr>
                <w:szCs w:val="21"/>
              </w:rPr>
            </w:pPr>
            <w:r>
              <w:rPr>
                <w:rFonts w:hint="eastAsia"/>
                <w:szCs w:val="21"/>
              </w:rPr>
              <w:t>（条目号/品目名称）</w:t>
            </w:r>
          </w:p>
        </w:tc>
        <w:tc>
          <w:tcPr>
            <w:tcW w:w="1215" w:type="dxa"/>
            <w:tcBorders>
              <w:left w:val="single" w:color="auto" w:sz="4" w:space="0"/>
            </w:tcBorders>
            <w:vAlign w:val="center"/>
          </w:tcPr>
          <w:p>
            <w:pPr>
              <w:adjustRightInd w:val="0"/>
              <w:snapToGrid w:val="0"/>
              <w:spacing w:line="360" w:lineRule="auto"/>
              <w:jc w:val="center"/>
              <w:rPr>
                <w:szCs w:val="21"/>
              </w:rPr>
            </w:pPr>
            <w:r>
              <w:rPr>
                <w:rFonts w:ascii="宋体" w:hAnsi="宋体" w:cs="宋体"/>
                <w:color w:val="000000"/>
                <w:kern w:val="0"/>
                <w:szCs w:val="21"/>
              </w:rPr>
              <w:t>是否接受进口设备</w:t>
            </w:r>
          </w:p>
        </w:tc>
        <w:tc>
          <w:tcPr>
            <w:tcW w:w="1065" w:type="dxa"/>
            <w:vAlign w:val="center"/>
          </w:tcPr>
          <w:p>
            <w:pPr>
              <w:adjustRightInd w:val="0"/>
              <w:snapToGrid w:val="0"/>
              <w:spacing w:line="360" w:lineRule="auto"/>
              <w:jc w:val="center"/>
              <w:rPr>
                <w:szCs w:val="21"/>
              </w:rPr>
            </w:pPr>
            <w:r>
              <w:rPr>
                <w:rFonts w:hint="eastAsia"/>
                <w:szCs w:val="21"/>
              </w:rPr>
              <w:t>数量</w:t>
            </w:r>
          </w:p>
        </w:tc>
        <w:tc>
          <w:tcPr>
            <w:tcW w:w="1305" w:type="dxa"/>
            <w:vAlign w:val="center"/>
          </w:tcPr>
          <w:p>
            <w:pPr>
              <w:adjustRightInd w:val="0"/>
              <w:snapToGrid w:val="0"/>
              <w:spacing w:line="360" w:lineRule="auto"/>
              <w:jc w:val="center"/>
              <w:rPr>
                <w:szCs w:val="21"/>
              </w:rPr>
            </w:pPr>
            <w:r>
              <w:rPr>
                <w:rFonts w:hint="eastAsia"/>
                <w:szCs w:val="21"/>
              </w:rPr>
              <w:t>预算金额（元）</w:t>
            </w:r>
          </w:p>
        </w:tc>
        <w:tc>
          <w:tcPr>
            <w:tcW w:w="794" w:type="dxa"/>
            <w:vAlign w:val="center"/>
          </w:tcPr>
          <w:p>
            <w:pPr>
              <w:adjustRightInd w:val="0"/>
              <w:snapToGrid w:val="0"/>
              <w:spacing w:line="360" w:lineRule="auto"/>
              <w:jc w:val="center"/>
              <w:rPr>
                <w:szCs w:val="21"/>
              </w:rPr>
            </w:pPr>
            <w:r>
              <w:rPr>
                <w:rFonts w:hint="eastAsia"/>
                <w:szCs w:val="21"/>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restart"/>
            <w:vAlign w:val="center"/>
          </w:tcPr>
          <w:p>
            <w:pPr>
              <w:adjustRightInd w:val="0"/>
              <w:snapToGrid w:val="0"/>
              <w:spacing w:beforeLines="50" w:line="360" w:lineRule="auto"/>
              <w:jc w:val="center"/>
              <w:rPr>
                <w:szCs w:val="21"/>
              </w:rPr>
            </w:pPr>
            <w:r>
              <w:rPr>
                <w:rFonts w:hint="eastAsia"/>
                <w:szCs w:val="21"/>
              </w:rPr>
              <w:t>1</w:t>
            </w:r>
          </w:p>
        </w:tc>
        <w:tc>
          <w:tcPr>
            <w:tcW w:w="1269" w:type="dxa"/>
            <w:vMerge w:val="restart"/>
            <w:vAlign w:val="center"/>
          </w:tcPr>
          <w:p>
            <w:pPr>
              <w:adjustRightInd w:val="0"/>
              <w:snapToGrid w:val="0"/>
              <w:spacing w:beforeLines="50" w:line="360" w:lineRule="auto"/>
              <w:jc w:val="center"/>
              <w:rPr>
                <w:szCs w:val="21"/>
              </w:rPr>
            </w:pPr>
            <w:r>
              <w:rPr>
                <w:rFonts w:hint="eastAsia"/>
                <w:szCs w:val="21"/>
              </w:rPr>
              <w:t>眼科设备</w:t>
            </w:r>
          </w:p>
        </w:tc>
        <w:tc>
          <w:tcPr>
            <w:tcW w:w="2820" w:type="dxa"/>
          </w:tcPr>
          <w:p>
            <w:pPr>
              <w:adjustRightInd w:val="0"/>
              <w:snapToGrid w:val="0"/>
              <w:spacing w:beforeLines="50" w:line="360" w:lineRule="auto"/>
              <w:jc w:val="center"/>
              <w:rPr>
                <w:szCs w:val="21"/>
              </w:rPr>
            </w:pPr>
            <w:r>
              <w:rPr>
                <w:rFonts w:hint="eastAsia"/>
                <w:szCs w:val="21"/>
              </w:rPr>
              <w:t>非接触式眼压计</w:t>
            </w:r>
          </w:p>
        </w:tc>
        <w:tc>
          <w:tcPr>
            <w:tcW w:w="1215" w:type="dxa"/>
            <w:tcBorders>
              <w:left w:val="single" w:color="auto" w:sz="4" w:space="0"/>
            </w:tcBorders>
            <w:vAlign w:val="center"/>
          </w:tcPr>
          <w:p>
            <w:pPr>
              <w:adjustRightInd w:val="0"/>
              <w:snapToGrid w:val="0"/>
              <w:spacing w:beforeLines="50" w:line="360" w:lineRule="auto"/>
              <w:ind w:firstLine="420" w:firstLineChars="200"/>
              <w:rPr>
                <w:szCs w:val="21"/>
              </w:rPr>
            </w:pPr>
            <w:r>
              <w:rPr>
                <w:rFonts w:hint="eastAsia"/>
                <w:szCs w:val="21"/>
              </w:rPr>
              <w:t>是</w:t>
            </w:r>
          </w:p>
        </w:tc>
        <w:tc>
          <w:tcPr>
            <w:tcW w:w="1065" w:type="dxa"/>
            <w:vAlign w:val="center"/>
          </w:tcPr>
          <w:p>
            <w:pPr>
              <w:adjustRightInd w:val="0"/>
              <w:snapToGrid w:val="0"/>
              <w:spacing w:beforeLines="50" w:line="360" w:lineRule="auto"/>
              <w:jc w:val="center"/>
              <w:rPr>
                <w:szCs w:val="21"/>
              </w:rPr>
            </w:pPr>
            <w:r>
              <w:rPr>
                <w:rFonts w:hint="eastAsia"/>
                <w:szCs w:val="21"/>
              </w:rPr>
              <w:t>1/台</w:t>
            </w:r>
          </w:p>
        </w:tc>
        <w:tc>
          <w:tcPr>
            <w:tcW w:w="1305" w:type="dxa"/>
            <w:tcBorders>
              <w:bottom w:val="single" w:color="auto" w:sz="4" w:space="0"/>
            </w:tcBorders>
            <w:vAlign w:val="center"/>
          </w:tcPr>
          <w:p>
            <w:pPr>
              <w:adjustRightInd w:val="0"/>
              <w:snapToGrid w:val="0"/>
              <w:spacing w:beforeLines="50" w:line="360" w:lineRule="auto"/>
              <w:jc w:val="center"/>
              <w:rPr>
                <w:szCs w:val="21"/>
              </w:rPr>
            </w:pPr>
            <w:r>
              <w:rPr>
                <w:rFonts w:hint="eastAsia"/>
                <w:szCs w:val="21"/>
              </w:rPr>
              <w:t>100000</w:t>
            </w:r>
          </w:p>
        </w:tc>
        <w:tc>
          <w:tcPr>
            <w:tcW w:w="794" w:type="dxa"/>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90" w:hRule="atLeast"/>
        </w:trPr>
        <w:tc>
          <w:tcPr>
            <w:tcW w:w="429" w:type="dxa"/>
            <w:vMerge w:val="continue"/>
          </w:tcPr>
          <w:p>
            <w:pPr>
              <w:adjustRightInd w:val="0"/>
              <w:snapToGrid w:val="0"/>
              <w:spacing w:beforeLines="50" w:line="360" w:lineRule="auto"/>
              <w:rPr>
                <w:szCs w:val="21"/>
              </w:rPr>
            </w:pPr>
          </w:p>
        </w:tc>
        <w:tc>
          <w:tcPr>
            <w:tcW w:w="1269" w:type="dxa"/>
            <w:vMerge w:val="continue"/>
          </w:tcPr>
          <w:p>
            <w:pPr>
              <w:adjustRightInd w:val="0"/>
              <w:snapToGrid w:val="0"/>
              <w:spacing w:beforeLines="50" w:line="360" w:lineRule="auto"/>
              <w:jc w:val="center"/>
              <w:rPr>
                <w:szCs w:val="21"/>
              </w:rPr>
            </w:pPr>
          </w:p>
        </w:tc>
        <w:tc>
          <w:tcPr>
            <w:tcW w:w="2820" w:type="dxa"/>
          </w:tcPr>
          <w:p>
            <w:pPr>
              <w:adjustRightInd w:val="0"/>
              <w:snapToGrid w:val="0"/>
              <w:spacing w:beforeLines="50" w:line="360" w:lineRule="auto"/>
              <w:jc w:val="center"/>
              <w:rPr>
                <w:szCs w:val="21"/>
              </w:rPr>
            </w:pPr>
            <w:r>
              <w:rPr>
                <w:rFonts w:hint="eastAsia"/>
                <w:szCs w:val="21"/>
              </w:rPr>
              <w:t>电脑验光仪</w:t>
            </w:r>
          </w:p>
        </w:tc>
        <w:tc>
          <w:tcPr>
            <w:tcW w:w="1215" w:type="dxa"/>
            <w:tcBorders>
              <w:left w:val="single" w:color="auto" w:sz="4" w:space="0"/>
            </w:tcBorders>
            <w:vAlign w:val="center"/>
          </w:tcPr>
          <w:p>
            <w:pPr>
              <w:adjustRightInd w:val="0"/>
              <w:snapToGrid w:val="0"/>
              <w:spacing w:beforeLines="50" w:line="360" w:lineRule="auto"/>
              <w:jc w:val="center"/>
              <w:rPr>
                <w:szCs w:val="21"/>
              </w:rPr>
            </w:pPr>
            <w:r>
              <w:rPr>
                <w:rFonts w:hint="eastAsia"/>
                <w:szCs w:val="21"/>
              </w:rPr>
              <w:t>是</w:t>
            </w:r>
          </w:p>
        </w:tc>
        <w:tc>
          <w:tcPr>
            <w:tcW w:w="1065" w:type="dxa"/>
            <w:vAlign w:val="center"/>
          </w:tcPr>
          <w:p>
            <w:pPr>
              <w:adjustRightInd w:val="0"/>
              <w:snapToGrid w:val="0"/>
              <w:spacing w:beforeLines="50" w:line="360" w:lineRule="auto"/>
              <w:jc w:val="center"/>
              <w:rPr>
                <w:szCs w:val="21"/>
              </w:rPr>
            </w:pPr>
            <w:r>
              <w:rPr>
                <w:rFonts w:hint="eastAsia"/>
                <w:szCs w:val="21"/>
              </w:rPr>
              <w:t>1/台</w:t>
            </w:r>
          </w:p>
        </w:tc>
        <w:tc>
          <w:tcPr>
            <w:tcW w:w="1305" w:type="dxa"/>
            <w:tcBorders>
              <w:top w:val="single" w:color="auto" w:sz="4" w:space="0"/>
              <w:bottom w:val="single" w:color="auto" w:sz="4" w:space="0"/>
            </w:tcBorders>
            <w:vAlign w:val="center"/>
          </w:tcPr>
          <w:p>
            <w:pPr>
              <w:adjustRightInd w:val="0"/>
              <w:snapToGrid w:val="0"/>
              <w:spacing w:beforeLines="50" w:line="360" w:lineRule="auto"/>
              <w:jc w:val="center"/>
              <w:rPr>
                <w:szCs w:val="21"/>
              </w:rPr>
            </w:pPr>
            <w:r>
              <w:rPr>
                <w:rFonts w:hint="eastAsia"/>
                <w:szCs w:val="21"/>
              </w:rPr>
              <w:t>100000</w:t>
            </w:r>
          </w:p>
        </w:tc>
        <w:tc>
          <w:tcPr>
            <w:tcW w:w="794" w:type="dxa"/>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pPr>
              <w:adjustRightInd w:val="0"/>
              <w:snapToGrid w:val="0"/>
              <w:spacing w:beforeLines="50" w:line="360" w:lineRule="auto"/>
              <w:rPr>
                <w:szCs w:val="21"/>
              </w:rPr>
            </w:pPr>
          </w:p>
        </w:tc>
        <w:tc>
          <w:tcPr>
            <w:tcW w:w="1269" w:type="dxa"/>
            <w:vMerge w:val="continue"/>
          </w:tcPr>
          <w:p>
            <w:pPr>
              <w:adjustRightInd w:val="0"/>
              <w:snapToGrid w:val="0"/>
              <w:spacing w:beforeLines="50" w:line="360" w:lineRule="auto"/>
              <w:jc w:val="center"/>
              <w:rPr>
                <w:szCs w:val="21"/>
              </w:rPr>
            </w:pPr>
          </w:p>
        </w:tc>
        <w:tc>
          <w:tcPr>
            <w:tcW w:w="2820" w:type="dxa"/>
          </w:tcPr>
          <w:p>
            <w:pPr>
              <w:adjustRightInd w:val="0"/>
              <w:snapToGrid w:val="0"/>
              <w:spacing w:beforeLines="50" w:line="360" w:lineRule="auto"/>
              <w:jc w:val="center"/>
              <w:rPr>
                <w:szCs w:val="21"/>
              </w:rPr>
            </w:pPr>
            <w:r>
              <w:rPr>
                <w:rFonts w:hint="eastAsia"/>
                <w:szCs w:val="21"/>
              </w:rPr>
              <w:t>视力检查器</w:t>
            </w:r>
          </w:p>
        </w:tc>
        <w:tc>
          <w:tcPr>
            <w:tcW w:w="1215" w:type="dxa"/>
            <w:tcBorders>
              <w:left w:val="single" w:color="auto" w:sz="4" w:space="0"/>
            </w:tcBorders>
            <w:vAlign w:val="center"/>
          </w:tcPr>
          <w:p>
            <w:pPr>
              <w:adjustRightInd w:val="0"/>
              <w:snapToGrid w:val="0"/>
              <w:spacing w:beforeLines="50" w:line="360" w:lineRule="auto"/>
              <w:jc w:val="center"/>
              <w:rPr>
                <w:szCs w:val="21"/>
              </w:rPr>
            </w:pPr>
            <w:r>
              <w:rPr>
                <w:rFonts w:hint="eastAsia"/>
                <w:szCs w:val="21"/>
              </w:rPr>
              <w:t>是</w:t>
            </w:r>
          </w:p>
        </w:tc>
        <w:tc>
          <w:tcPr>
            <w:tcW w:w="1065" w:type="dxa"/>
            <w:vAlign w:val="center"/>
          </w:tcPr>
          <w:p>
            <w:pPr>
              <w:adjustRightInd w:val="0"/>
              <w:snapToGrid w:val="0"/>
              <w:spacing w:beforeLines="50" w:line="360" w:lineRule="auto"/>
              <w:jc w:val="center"/>
              <w:rPr>
                <w:szCs w:val="21"/>
              </w:rPr>
            </w:pPr>
            <w:r>
              <w:rPr>
                <w:rFonts w:hint="eastAsia"/>
                <w:szCs w:val="21"/>
              </w:rPr>
              <w:t>1/台</w:t>
            </w:r>
          </w:p>
        </w:tc>
        <w:tc>
          <w:tcPr>
            <w:tcW w:w="1305" w:type="dxa"/>
            <w:tcBorders>
              <w:top w:val="single" w:color="auto" w:sz="4" w:space="0"/>
            </w:tcBorders>
            <w:vAlign w:val="center"/>
          </w:tcPr>
          <w:p>
            <w:pPr>
              <w:adjustRightInd w:val="0"/>
              <w:snapToGrid w:val="0"/>
              <w:spacing w:beforeLines="50" w:line="360" w:lineRule="auto"/>
              <w:jc w:val="center"/>
              <w:rPr>
                <w:szCs w:val="21"/>
              </w:rPr>
            </w:pPr>
            <w:r>
              <w:rPr>
                <w:rFonts w:hint="eastAsia"/>
                <w:szCs w:val="21"/>
              </w:rPr>
              <w:t>93000</w:t>
            </w:r>
          </w:p>
        </w:tc>
        <w:tc>
          <w:tcPr>
            <w:tcW w:w="794" w:type="dxa"/>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pPr>
              <w:adjustRightInd w:val="0"/>
              <w:snapToGrid w:val="0"/>
              <w:spacing w:beforeLines="50" w:line="360" w:lineRule="auto"/>
              <w:rPr>
                <w:szCs w:val="21"/>
              </w:rPr>
            </w:pPr>
          </w:p>
        </w:tc>
        <w:tc>
          <w:tcPr>
            <w:tcW w:w="1269" w:type="dxa"/>
            <w:vMerge w:val="continue"/>
          </w:tcPr>
          <w:p>
            <w:pPr>
              <w:adjustRightInd w:val="0"/>
              <w:snapToGrid w:val="0"/>
              <w:spacing w:beforeLines="50" w:line="360" w:lineRule="auto"/>
              <w:jc w:val="center"/>
              <w:rPr>
                <w:szCs w:val="21"/>
              </w:rPr>
            </w:pPr>
          </w:p>
        </w:tc>
        <w:tc>
          <w:tcPr>
            <w:tcW w:w="2820" w:type="dxa"/>
          </w:tcPr>
          <w:p>
            <w:pPr>
              <w:adjustRightInd w:val="0"/>
              <w:snapToGrid w:val="0"/>
              <w:spacing w:beforeLines="50" w:line="360" w:lineRule="auto"/>
              <w:jc w:val="center"/>
              <w:rPr>
                <w:szCs w:val="21"/>
              </w:rPr>
            </w:pPr>
            <w:r>
              <w:rPr>
                <w:rFonts w:hint="eastAsia"/>
                <w:szCs w:val="21"/>
              </w:rPr>
              <w:t>配件</w:t>
            </w:r>
          </w:p>
        </w:tc>
        <w:tc>
          <w:tcPr>
            <w:tcW w:w="1215" w:type="dxa"/>
            <w:tcBorders>
              <w:left w:val="single" w:color="auto" w:sz="4" w:space="0"/>
            </w:tcBorders>
            <w:vAlign w:val="center"/>
          </w:tcPr>
          <w:p>
            <w:pPr>
              <w:adjustRightInd w:val="0"/>
              <w:snapToGrid w:val="0"/>
              <w:spacing w:beforeLines="50" w:line="360" w:lineRule="auto"/>
              <w:jc w:val="center"/>
              <w:rPr>
                <w:szCs w:val="21"/>
              </w:rPr>
            </w:pPr>
            <w:r>
              <w:rPr>
                <w:rFonts w:hint="eastAsia"/>
                <w:szCs w:val="21"/>
              </w:rPr>
              <w:t>否</w:t>
            </w:r>
          </w:p>
        </w:tc>
        <w:tc>
          <w:tcPr>
            <w:tcW w:w="1065" w:type="dxa"/>
            <w:vAlign w:val="center"/>
          </w:tcPr>
          <w:p>
            <w:pPr>
              <w:adjustRightInd w:val="0"/>
              <w:snapToGrid w:val="0"/>
              <w:spacing w:beforeLines="50" w:line="360" w:lineRule="auto"/>
              <w:jc w:val="center"/>
              <w:rPr>
                <w:szCs w:val="21"/>
              </w:rPr>
            </w:pPr>
            <w:r>
              <w:rPr>
                <w:rFonts w:hint="eastAsia"/>
                <w:szCs w:val="21"/>
              </w:rPr>
              <w:t>1/批</w:t>
            </w:r>
          </w:p>
        </w:tc>
        <w:tc>
          <w:tcPr>
            <w:tcW w:w="1305" w:type="dxa"/>
            <w:vAlign w:val="center"/>
          </w:tcPr>
          <w:p>
            <w:pPr>
              <w:adjustRightInd w:val="0"/>
              <w:snapToGrid w:val="0"/>
              <w:spacing w:beforeLines="50" w:line="360" w:lineRule="auto"/>
              <w:jc w:val="center"/>
              <w:rPr>
                <w:szCs w:val="21"/>
              </w:rPr>
            </w:pPr>
            <w:r>
              <w:rPr>
                <w:rFonts w:hint="eastAsia"/>
                <w:szCs w:val="21"/>
              </w:rPr>
              <w:t>7000</w:t>
            </w:r>
          </w:p>
        </w:tc>
        <w:tc>
          <w:tcPr>
            <w:tcW w:w="794" w:type="dxa"/>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5" w:hRule="atLeast"/>
        </w:trPr>
        <w:tc>
          <w:tcPr>
            <w:tcW w:w="429" w:type="dxa"/>
            <w:vMerge w:val="continue"/>
          </w:tcPr>
          <w:p>
            <w:pPr>
              <w:adjustRightInd w:val="0"/>
              <w:snapToGrid w:val="0"/>
              <w:spacing w:beforeLines="50" w:line="360" w:lineRule="auto"/>
              <w:rPr>
                <w:szCs w:val="21"/>
              </w:rPr>
            </w:pPr>
          </w:p>
        </w:tc>
        <w:tc>
          <w:tcPr>
            <w:tcW w:w="1269" w:type="dxa"/>
            <w:vMerge w:val="restart"/>
            <w:tcBorders>
              <w:top w:val="single" w:color="auto" w:sz="4" w:space="0"/>
            </w:tcBorders>
          </w:tcPr>
          <w:p>
            <w:pPr>
              <w:adjustRightInd w:val="0"/>
              <w:snapToGrid w:val="0"/>
              <w:spacing w:beforeLines="50" w:line="360" w:lineRule="auto"/>
              <w:jc w:val="center"/>
              <w:rPr>
                <w:szCs w:val="21"/>
              </w:rPr>
            </w:pPr>
          </w:p>
          <w:p>
            <w:pPr>
              <w:adjustRightInd w:val="0"/>
              <w:snapToGrid w:val="0"/>
              <w:spacing w:beforeLines="50" w:line="360" w:lineRule="auto"/>
              <w:jc w:val="center"/>
              <w:rPr>
                <w:szCs w:val="21"/>
              </w:rPr>
            </w:pPr>
            <w:r>
              <w:rPr>
                <w:rFonts w:hint="eastAsia"/>
                <w:szCs w:val="21"/>
              </w:rPr>
              <w:t>产康设备</w:t>
            </w:r>
          </w:p>
        </w:tc>
        <w:tc>
          <w:tcPr>
            <w:tcW w:w="2820" w:type="dxa"/>
            <w:tcBorders>
              <w:top w:val="single" w:color="auto" w:sz="4" w:space="0"/>
            </w:tcBorders>
          </w:tcPr>
          <w:p>
            <w:pPr>
              <w:adjustRightInd w:val="0"/>
              <w:snapToGrid w:val="0"/>
              <w:spacing w:beforeLines="50" w:line="360" w:lineRule="auto"/>
              <w:jc w:val="center"/>
              <w:rPr>
                <w:szCs w:val="21"/>
              </w:rPr>
            </w:pPr>
            <w:r>
              <w:rPr>
                <w:rFonts w:hint="eastAsia"/>
                <w:szCs w:val="21"/>
              </w:rPr>
              <w:t>生物刺激反馈仪（评估机）</w:t>
            </w:r>
          </w:p>
        </w:tc>
        <w:tc>
          <w:tcPr>
            <w:tcW w:w="1215" w:type="dxa"/>
            <w:tcBorders>
              <w:top w:val="single" w:color="auto" w:sz="4" w:space="0"/>
              <w:left w:val="single" w:color="auto" w:sz="4" w:space="0"/>
            </w:tcBorders>
            <w:vAlign w:val="center"/>
          </w:tcPr>
          <w:p>
            <w:pPr>
              <w:adjustRightInd w:val="0"/>
              <w:snapToGrid w:val="0"/>
              <w:spacing w:beforeLines="50" w:line="360" w:lineRule="auto"/>
              <w:jc w:val="center"/>
              <w:rPr>
                <w:szCs w:val="21"/>
              </w:rPr>
            </w:pPr>
            <w:r>
              <w:rPr>
                <w:rFonts w:hint="eastAsia"/>
                <w:szCs w:val="21"/>
              </w:rPr>
              <w:t>否</w:t>
            </w:r>
          </w:p>
        </w:tc>
        <w:tc>
          <w:tcPr>
            <w:tcW w:w="1065" w:type="dxa"/>
            <w:tcBorders>
              <w:top w:val="single" w:color="auto" w:sz="4" w:space="0"/>
            </w:tcBorders>
            <w:vAlign w:val="center"/>
          </w:tcPr>
          <w:p>
            <w:pPr>
              <w:adjustRightInd w:val="0"/>
              <w:snapToGrid w:val="0"/>
              <w:spacing w:beforeLines="50" w:line="360" w:lineRule="auto"/>
              <w:jc w:val="center"/>
              <w:rPr>
                <w:szCs w:val="21"/>
              </w:rPr>
            </w:pPr>
            <w:r>
              <w:rPr>
                <w:rFonts w:hint="eastAsia"/>
                <w:szCs w:val="21"/>
              </w:rPr>
              <w:t>1/台</w:t>
            </w:r>
          </w:p>
        </w:tc>
        <w:tc>
          <w:tcPr>
            <w:tcW w:w="1305" w:type="dxa"/>
            <w:tcBorders>
              <w:top w:val="single" w:color="auto" w:sz="4" w:space="0"/>
              <w:bottom w:val="single" w:color="auto" w:sz="4" w:space="0"/>
            </w:tcBorders>
            <w:vAlign w:val="center"/>
          </w:tcPr>
          <w:p>
            <w:pPr>
              <w:adjustRightInd w:val="0"/>
              <w:snapToGrid w:val="0"/>
              <w:spacing w:beforeLines="50" w:line="360" w:lineRule="auto"/>
              <w:jc w:val="center"/>
              <w:rPr>
                <w:szCs w:val="21"/>
              </w:rPr>
            </w:pPr>
            <w:r>
              <w:rPr>
                <w:rFonts w:hint="eastAsia"/>
                <w:szCs w:val="21"/>
              </w:rPr>
              <w:t>150000</w:t>
            </w:r>
          </w:p>
        </w:tc>
        <w:tc>
          <w:tcPr>
            <w:tcW w:w="794" w:type="dxa"/>
            <w:tcBorders>
              <w:top w:val="single" w:color="auto" w:sz="4" w:space="0"/>
            </w:tcBorders>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pPr>
              <w:adjustRightInd w:val="0"/>
              <w:snapToGrid w:val="0"/>
              <w:spacing w:beforeLines="50" w:line="360" w:lineRule="auto"/>
              <w:rPr>
                <w:szCs w:val="21"/>
              </w:rPr>
            </w:pPr>
          </w:p>
        </w:tc>
        <w:tc>
          <w:tcPr>
            <w:tcW w:w="1269" w:type="dxa"/>
            <w:vMerge w:val="continue"/>
          </w:tcPr>
          <w:p>
            <w:pPr>
              <w:adjustRightInd w:val="0"/>
              <w:snapToGrid w:val="0"/>
              <w:spacing w:beforeLines="50" w:line="360" w:lineRule="auto"/>
              <w:jc w:val="center"/>
              <w:rPr>
                <w:szCs w:val="21"/>
              </w:rPr>
            </w:pPr>
          </w:p>
        </w:tc>
        <w:tc>
          <w:tcPr>
            <w:tcW w:w="2820" w:type="dxa"/>
          </w:tcPr>
          <w:p>
            <w:pPr>
              <w:adjustRightInd w:val="0"/>
              <w:snapToGrid w:val="0"/>
              <w:spacing w:beforeLines="50" w:line="360" w:lineRule="auto"/>
              <w:jc w:val="center"/>
              <w:rPr>
                <w:szCs w:val="21"/>
              </w:rPr>
            </w:pPr>
            <w:r>
              <w:rPr>
                <w:rFonts w:hint="eastAsia"/>
                <w:szCs w:val="21"/>
              </w:rPr>
              <w:t>生物刺激反馈仪（治疗机）</w:t>
            </w:r>
          </w:p>
        </w:tc>
        <w:tc>
          <w:tcPr>
            <w:tcW w:w="1215" w:type="dxa"/>
            <w:tcBorders>
              <w:left w:val="single" w:color="auto" w:sz="4" w:space="0"/>
            </w:tcBorders>
            <w:vAlign w:val="center"/>
          </w:tcPr>
          <w:p>
            <w:pPr>
              <w:adjustRightInd w:val="0"/>
              <w:snapToGrid w:val="0"/>
              <w:spacing w:beforeLines="50" w:line="360" w:lineRule="auto"/>
              <w:jc w:val="center"/>
              <w:rPr>
                <w:szCs w:val="21"/>
              </w:rPr>
            </w:pPr>
            <w:r>
              <w:rPr>
                <w:rFonts w:hint="eastAsia"/>
                <w:szCs w:val="21"/>
              </w:rPr>
              <w:t>否</w:t>
            </w:r>
          </w:p>
        </w:tc>
        <w:tc>
          <w:tcPr>
            <w:tcW w:w="1065" w:type="dxa"/>
            <w:vAlign w:val="center"/>
          </w:tcPr>
          <w:p>
            <w:pPr>
              <w:adjustRightInd w:val="0"/>
              <w:snapToGrid w:val="0"/>
              <w:spacing w:beforeLines="50" w:line="360" w:lineRule="auto"/>
              <w:jc w:val="center"/>
              <w:rPr>
                <w:szCs w:val="21"/>
              </w:rPr>
            </w:pPr>
            <w:r>
              <w:rPr>
                <w:rFonts w:hint="eastAsia"/>
                <w:szCs w:val="21"/>
              </w:rPr>
              <w:t>1/台</w:t>
            </w:r>
          </w:p>
        </w:tc>
        <w:tc>
          <w:tcPr>
            <w:tcW w:w="1305" w:type="dxa"/>
            <w:tcBorders>
              <w:top w:val="single" w:color="auto" w:sz="4" w:space="0"/>
              <w:bottom w:val="single" w:color="auto" w:sz="4" w:space="0"/>
            </w:tcBorders>
          </w:tcPr>
          <w:p>
            <w:pPr>
              <w:adjustRightInd w:val="0"/>
              <w:snapToGrid w:val="0"/>
              <w:spacing w:beforeLines="50" w:line="360" w:lineRule="auto"/>
              <w:jc w:val="center"/>
              <w:rPr>
                <w:szCs w:val="21"/>
              </w:rPr>
            </w:pPr>
            <w:r>
              <w:rPr>
                <w:rFonts w:hint="eastAsia"/>
                <w:szCs w:val="21"/>
              </w:rPr>
              <w:t>250000</w:t>
            </w:r>
          </w:p>
        </w:tc>
        <w:tc>
          <w:tcPr>
            <w:tcW w:w="794" w:type="dxa"/>
          </w:tcPr>
          <w:p>
            <w:pPr>
              <w:adjustRightInd w:val="0"/>
              <w:snapToGrid w:val="0"/>
              <w:spacing w:beforeLines="50" w:line="360" w:lineRule="auto"/>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vMerge w:val="continue"/>
          </w:tcPr>
          <w:p>
            <w:pPr>
              <w:adjustRightInd w:val="0"/>
              <w:snapToGrid w:val="0"/>
              <w:spacing w:beforeLines="50" w:line="360" w:lineRule="auto"/>
              <w:rPr>
                <w:szCs w:val="21"/>
              </w:rPr>
            </w:pPr>
          </w:p>
        </w:tc>
        <w:tc>
          <w:tcPr>
            <w:tcW w:w="1269" w:type="dxa"/>
            <w:vMerge w:val="continue"/>
          </w:tcPr>
          <w:p>
            <w:pPr>
              <w:adjustRightInd w:val="0"/>
              <w:snapToGrid w:val="0"/>
              <w:spacing w:beforeLines="50" w:line="360" w:lineRule="auto"/>
              <w:jc w:val="center"/>
              <w:rPr>
                <w:szCs w:val="21"/>
              </w:rPr>
            </w:pPr>
          </w:p>
        </w:tc>
        <w:tc>
          <w:tcPr>
            <w:tcW w:w="2820" w:type="dxa"/>
          </w:tcPr>
          <w:p>
            <w:pPr>
              <w:adjustRightInd w:val="0"/>
              <w:snapToGrid w:val="0"/>
              <w:spacing w:beforeLines="50" w:line="360" w:lineRule="auto"/>
              <w:jc w:val="center"/>
              <w:rPr>
                <w:szCs w:val="21"/>
              </w:rPr>
            </w:pPr>
            <w:r>
              <w:rPr>
                <w:rFonts w:hint="eastAsia"/>
                <w:szCs w:val="21"/>
              </w:rPr>
              <w:t>生物刺激反馈仪（产康机）</w:t>
            </w:r>
          </w:p>
        </w:tc>
        <w:tc>
          <w:tcPr>
            <w:tcW w:w="1215" w:type="dxa"/>
            <w:tcBorders>
              <w:left w:val="single" w:color="auto" w:sz="4" w:space="0"/>
            </w:tcBorders>
            <w:vAlign w:val="center"/>
          </w:tcPr>
          <w:p>
            <w:pPr>
              <w:adjustRightInd w:val="0"/>
              <w:snapToGrid w:val="0"/>
              <w:spacing w:beforeLines="50" w:line="360" w:lineRule="auto"/>
              <w:jc w:val="center"/>
              <w:rPr>
                <w:szCs w:val="21"/>
              </w:rPr>
            </w:pPr>
            <w:r>
              <w:rPr>
                <w:rFonts w:hint="eastAsia"/>
                <w:szCs w:val="21"/>
              </w:rPr>
              <w:t>否</w:t>
            </w:r>
          </w:p>
        </w:tc>
        <w:tc>
          <w:tcPr>
            <w:tcW w:w="1065" w:type="dxa"/>
            <w:vAlign w:val="center"/>
          </w:tcPr>
          <w:p>
            <w:pPr>
              <w:adjustRightInd w:val="0"/>
              <w:snapToGrid w:val="0"/>
              <w:spacing w:beforeLines="50" w:line="360" w:lineRule="auto"/>
              <w:jc w:val="center"/>
              <w:rPr>
                <w:szCs w:val="21"/>
              </w:rPr>
            </w:pPr>
            <w:r>
              <w:rPr>
                <w:rFonts w:hint="eastAsia"/>
                <w:szCs w:val="21"/>
              </w:rPr>
              <w:t>1/台</w:t>
            </w:r>
          </w:p>
        </w:tc>
        <w:tc>
          <w:tcPr>
            <w:tcW w:w="1305" w:type="dxa"/>
            <w:tcBorders>
              <w:top w:val="single" w:color="auto" w:sz="4" w:space="0"/>
            </w:tcBorders>
          </w:tcPr>
          <w:p>
            <w:pPr>
              <w:adjustRightInd w:val="0"/>
              <w:snapToGrid w:val="0"/>
              <w:spacing w:beforeLines="50" w:line="360" w:lineRule="auto"/>
              <w:jc w:val="center"/>
              <w:rPr>
                <w:szCs w:val="21"/>
              </w:rPr>
            </w:pPr>
            <w:r>
              <w:rPr>
                <w:rFonts w:hint="eastAsia"/>
                <w:szCs w:val="21"/>
              </w:rPr>
              <w:t>80000</w:t>
            </w:r>
          </w:p>
        </w:tc>
        <w:tc>
          <w:tcPr>
            <w:tcW w:w="794" w:type="dxa"/>
          </w:tcPr>
          <w:p>
            <w:pPr>
              <w:adjustRightInd w:val="0"/>
              <w:snapToGrid w:val="0"/>
              <w:spacing w:beforeLines="50" w:line="360" w:lineRule="auto"/>
              <w:jc w:val="center"/>
              <w:rPr>
                <w:szCs w:val="21"/>
              </w:rPr>
            </w:pPr>
          </w:p>
        </w:tc>
      </w:tr>
    </w:tbl>
    <w:p>
      <w:pPr>
        <w:adjustRightInd w:val="0"/>
        <w:snapToGrid w:val="0"/>
        <w:spacing w:beforeLines="50" w:line="360" w:lineRule="auto"/>
        <w:rPr>
          <w:rFonts w:ascii="宋体" w:hAnsi="宋体"/>
          <w:szCs w:val="21"/>
        </w:rPr>
      </w:pPr>
      <w:r>
        <w:rPr>
          <w:rFonts w:hint="eastAsia" w:ascii="宋体" w:hAnsi="宋体"/>
          <w:szCs w:val="21"/>
        </w:rPr>
        <w:t>注：1、“包”为最小合同单位。每“包”内容应细化到“品目”（如果分品目的）。</w:t>
      </w:r>
    </w:p>
    <w:p>
      <w:pPr>
        <w:adjustRightInd w:val="0"/>
        <w:snapToGrid w:val="0"/>
        <w:spacing w:beforeLines="50" w:line="360" w:lineRule="auto"/>
        <w:ind w:firstLine="420" w:firstLineChars="200"/>
        <w:rPr>
          <w:rFonts w:ascii="宋体" w:hAnsi="宋体" w:cs="宋体"/>
          <w:color w:val="000000"/>
          <w:kern w:val="0"/>
          <w:szCs w:val="21"/>
        </w:rPr>
      </w:pPr>
      <w:r>
        <w:rPr>
          <w:rFonts w:hint="eastAsia" w:ascii="宋体" w:hAnsi="宋体"/>
          <w:szCs w:val="21"/>
        </w:rPr>
        <w:t>2、货物的主要技术参数或规格：</w:t>
      </w:r>
      <w:r>
        <w:rPr>
          <w:rFonts w:ascii="宋体" w:hAnsi="宋体" w:cs="宋体"/>
          <w:color w:val="000000"/>
          <w:kern w:val="0"/>
          <w:szCs w:val="21"/>
        </w:rPr>
        <w:t>详见“技术要求”中的具体技术参数</w:t>
      </w:r>
      <w:r>
        <w:rPr>
          <w:rFonts w:hint="eastAsia" w:ascii="宋体" w:hAnsi="宋体" w:cs="宋体"/>
          <w:color w:val="000000"/>
          <w:kern w:val="0"/>
          <w:szCs w:val="21"/>
        </w:rPr>
        <w:t>。</w:t>
      </w:r>
    </w:p>
    <w:p>
      <w:pPr>
        <w:adjustRightInd w:val="0"/>
        <w:snapToGrid w:val="0"/>
        <w:spacing w:beforeLines="50" w:line="360" w:lineRule="auto"/>
        <w:ind w:firstLine="420" w:firstLineChars="200"/>
        <w:rPr>
          <w:rFonts w:ascii="宋体" w:hAnsi="宋体"/>
          <w:szCs w:val="21"/>
        </w:rPr>
      </w:pPr>
      <w:r>
        <w:rPr>
          <w:rFonts w:hint="eastAsia" w:ascii="宋体" w:hAnsi="宋体" w:cs="宋体"/>
          <w:bCs/>
          <w:kern w:val="0"/>
          <w:szCs w:val="21"/>
        </w:rPr>
        <w:t>3、供应商应</w:t>
      </w:r>
      <w:r>
        <w:rPr>
          <w:rFonts w:hint="eastAsia" w:ascii="宋体" w:hAnsi="宋体" w:cs="宋体"/>
          <w:kern w:val="0"/>
          <w:szCs w:val="21"/>
        </w:rPr>
        <w:t>在响应文件</w:t>
      </w:r>
      <w:r>
        <w:rPr>
          <w:rFonts w:hint="eastAsia" w:ascii="华文中宋" w:hAnsi="华文中宋" w:eastAsia="华文中宋" w:cs="宋体"/>
          <w:kern w:val="0"/>
          <w:szCs w:val="21"/>
        </w:rPr>
        <w:t>“</w:t>
      </w:r>
      <w:r>
        <w:rPr>
          <w:rFonts w:hint="eastAsia" w:ascii="宋体" w:hAnsi="宋体" w:cs="宋体"/>
          <w:kern w:val="0"/>
          <w:szCs w:val="21"/>
        </w:rPr>
        <w:t>分项报价明细表</w:t>
      </w:r>
      <w:r>
        <w:rPr>
          <w:rFonts w:hint="eastAsia" w:ascii="华文中宋" w:hAnsi="华文中宋" w:eastAsia="华文中宋" w:cs="宋体"/>
          <w:kern w:val="0"/>
          <w:szCs w:val="21"/>
        </w:rPr>
        <w:t>”</w:t>
      </w:r>
      <w:r>
        <w:rPr>
          <w:rFonts w:hint="eastAsia" w:ascii="宋体" w:hAnsi="宋体" w:cs="宋体"/>
          <w:kern w:val="0"/>
          <w:szCs w:val="21"/>
        </w:rPr>
        <w:t>中按</w:t>
      </w:r>
      <w:r>
        <w:rPr>
          <w:rFonts w:hint="eastAsia" w:ascii="宋体" w:hAnsi="宋体"/>
          <w:color w:val="000000"/>
          <w:szCs w:val="21"/>
        </w:rPr>
        <w:t>分项项目名称（包括</w:t>
      </w:r>
      <w:r>
        <w:rPr>
          <w:rFonts w:hint="eastAsia" w:ascii="宋体" w:hAnsi="宋体" w:cs="宋体"/>
          <w:kern w:val="0"/>
          <w:szCs w:val="21"/>
        </w:rPr>
        <w:t>条目号/品目名称）顺序逐项填写，且每个品目中的条目均需按谈判文件规定报价。如</w:t>
      </w:r>
      <w:r>
        <w:rPr>
          <w:rFonts w:hint="eastAsia" w:ascii="宋体" w:hAnsi="宋体"/>
          <w:szCs w:val="21"/>
        </w:rPr>
        <w:t>有缺项、漏项，其响应无效。</w:t>
      </w:r>
    </w:p>
    <w:p>
      <w:pPr>
        <w:pStyle w:val="6"/>
        <w:adjustRightInd w:val="0"/>
        <w:snapToGrid w:val="0"/>
        <w:spacing w:beforeLines="50"/>
        <w:jc w:val="center"/>
        <w:rPr>
          <w:rFonts w:ascii="黑体" w:hAnsi="黑体" w:eastAsia="黑体"/>
          <w:sz w:val="28"/>
          <w:szCs w:val="28"/>
        </w:rPr>
      </w:pPr>
      <w:bookmarkStart w:id="38" w:name="_Toc12147"/>
      <w:r>
        <w:rPr>
          <w:rFonts w:hint="eastAsia" w:ascii="黑体" w:hAnsi="黑体" w:eastAsia="黑体"/>
          <w:sz w:val="28"/>
          <w:szCs w:val="28"/>
        </w:rPr>
        <w:t xml:space="preserve">第二节 </w:t>
      </w:r>
      <w:r>
        <w:rPr>
          <w:rFonts w:ascii="黑体" w:hAnsi="黑体" w:eastAsia="黑体"/>
          <w:sz w:val="28"/>
          <w:szCs w:val="28"/>
        </w:rPr>
        <w:t>技术要求</w:t>
      </w:r>
      <w:bookmarkEnd w:id="38"/>
    </w:p>
    <w:p>
      <w:pPr>
        <w:rPr>
          <w:b/>
          <w:sz w:val="28"/>
          <w:szCs w:val="28"/>
        </w:rPr>
      </w:pPr>
      <w:r>
        <w:rPr>
          <w:rFonts w:hint="eastAsia"/>
          <w:b/>
          <w:sz w:val="28"/>
          <w:szCs w:val="28"/>
        </w:rPr>
        <w:t>包1：</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7"/>
              <w:keepNext w:val="0"/>
              <w:keepLines w:val="0"/>
              <w:adjustRightInd w:val="0"/>
              <w:snapToGrid w:val="0"/>
              <w:spacing w:beforeLines="50" w:after="0" w:line="360" w:lineRule="auto"/>
              <w:outlineLvl w:val="2"/>
              <w:rPr>
                <w:rFonts w:asciiTheme="minorEastAsia" w:hAnsiTheme="minorEastAsia" w:eastAsiaTheme="minorEastAsia"/>
                <w:sz w:val="21"/>
                <w:szCs w:val="21"/>
              </w:rPr>
            </w:pPr>
            <w:bookmarkStart w:id="39" w:name="_Toc10911"/>
            <w:r>
              <w:rPr>
                <w:rFonts w:hint="eastAsia" w:asciiTheme="minorEastAsia" w:hAnsiTheme="minorEastAsia" w:eastAsiaTheme="minorEastAsia"/>
                <w:bCs w:val="0"/>
                <w:sz w:val="21"/>
                <w:szCs w:val="21"/>
              </w:rPr>
              <w:t>一、非接触眼压计技术参数</w:t>
            </w:r>
            <w:bookmarkEnd w:id="39"/>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1. </w:t>
            </w:r>
            <w:r>
              <w:rPr>
                <w:rFonts w:hint="eastAsia" w:asciiTheme="minorEastAsia" w:hAnsiTheme="minorEastAsia" w:eastAsiaTheme="minorEastAsia"/>
                <w:bCs/>
                <w:lang w:val="zh-CN"/>
              </w:rPr>
              <w:t>测量范围：0-60mmHg</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2. </w:t>
            </w:r>
            <w:r>
              <w:rPr>
                <w:rFonts w:hint="eastAsia" w:asciiTheme="minorEastAsia" w:hAnsiTheme="minorEastAsia" w:eastAsiaTheme="minorEastAsia"/>
                <w:bCs/>
                <w:lang w:val="zh-CN"/>
              </w:rPr>
              <w:t>工作距离：11MM</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3. </w:t>
            </w:r>
            <w:r>
              <w:rPr>
                <w:rFonts w:hint="eastAsia" w:asciiTheme="minorEastAsia" w:hAnsiTheme="minorEastAsia" w:eastAsiaTheme="minorEastAsia"/>
                <w:bCs/>
                <w:lang w:val="zh-CN"/>
              </w:rPr>
              <w:t>自动检测和显示：R/L（眼别）</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4. </w:t>
            </w:r>
            <w:r>
              <w:rPr>
                <w:rFonts w:hint="eastAsia" w:asciiTheme="minorEastAsia" w:hAnsiTheme="minorEastAsia" w:eastAsiaTheme="minorEastAsia"/>
                <w:bCs/>
                <w:lang w:val="zh-CN"/>
              </w:rPr>
              <w:t>IOL（人工晶状体）模式：可测量人工晶体眼患者。</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5. </w:t>
            </w:r>
            <w:r>
              <w:rPr>
                <w:rFonts w:hint="eastAsia" w:asciiTheme="minorEastAsia" w:hAnsiTheme="minorEastAsia" w:eastAsiaTheme="minorEastAsia"/>
                <w:bCs/>
                <w:lang w:val="zh-CN"/>
              </w:rPr>
              <w:t>调整后的眼压值</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6. </w:t>
            </w:r>
            <w:r>
              <w:rPr>
                <w:rFonts w:hint="eastAsia" w:asciiTheme="minorEastAsia" w:hAnsiTheme="minorEastAsia" w:eastAsiaTheme="minorEastAsia"/>
                <w:bCs/>
                <w:lang w:val="zh-CN"/>
              </w:rPr>
              <w:t>测量模式：自动/手动（可选），两种测量模式</w:t>
            </w:r>
          </w:p>
          <w:p>
            <w:pPr>
              <w:pStyle w:val="24"/>
              <w:adjustRightInd w:val="0"/>
              <w:snapToGrid w:val="0"/>
              <w:spacing w:beforeLines="50" w:line="360" w:lineRule="auto"/>
              <w:ind w:firstLine="420" w:firstLineChars="200"/>
              <w:rPr>
                <w:rFonts w:asciiTheme="minorEastAsia" w:hAnsiTheme="minorEastAsia" w:eastAsiaTheme="minorEastAsia"/>
                <w:bCs/>
                <w:lang w:val="zh-CN"/>
              </w:rPr>
            </w:pPr>
            <w:r>
              <w:rPr>
                <w:rFonts w:hint="eastAsia" w:asciiTheme="minorEastAsia" w:hAnsiTheme="minorEastAsia" w:eastAsiaTheme="minorEastAsia"/>
                <w:bCs/>
              </w:rPr>
              <w:t xml:space="preserve">7. </w:t>
            </w:r>
            <w:r>
              <w:rPr>
                <w:rFonts w:hint="eastAsia" w:asciiTheme="minorEastAsia" w:hAnsiTheme="minorEastAsia" w:eastAsiaTheme="minorEastAsia"/>
                <w:bCs/>
                <w:lang w:val="zh-CN"/>
              </w:rPr>
              <w:t>显示方式：可在荧屏上显示每次测量的结果及测量的平均值，数值精确到小数点后一位</w:t>
            </w:r>
          </w:p>
          <w:p>
            <w:pPr>
              <w:adjustRightInd w:val="0"/>
              <w:snapToGrid w:val="0"/>
              <w:spacing w:beforeLines="50" w:line="360" w:lineRule="auto"/>
              <w:ind w:firstLine="420" w:firstLineChars="200"/>
              <w:rPr>
                <w:rFonts w:asciiTheme="minorEastAsia" w:hAnsiTheme="minorEastAsia" w:eastAsiaTheme="minorEastAsia"/>
                <w:szCs w:val="21"/>
                <w:lang w:val="zh-CN"/>
              </w:rPr>
            </w:pPr>
            <w:r>
              <w:rPr>
                <w:rFonts w:hint="eastAsia" w:asciiTheme="minorEastAsia" w:hAnsiTheme="minorEastAsia" w:eastAsiaTheme="minorEastAsia"/>
                <w:szCs w:val="21"/>
              </w:rPr>
              <w:t xml:space="preserve">8. </w:t>
            </w:r>
            <w:r>
              <w:rPr>
                <w:rFonts w:hint="eastAsia" w:asciiTheme="minorEastAsia" w:hAnsiTheme="minorEastAsia" w:eastAsiaTheme="minorEastAsia"/>
                <w:szCs w:val="21"/>
                <w:lang w:val="zh-CN"/>
              </w:rPr>
              <w:t>测量气流量：气流量小，对病人眼睛无伤害，并设有气压的选择，气流压力符合国家标准</w:t>
            </w:r>
          </w:p>
          <w:p>
            <w:pPr>
              <w:adjustRightInd w:val="0"/>
              <w:snapToGrid w:val="0"/>
              <w:spacing w:beforeLines="50" w:line="360" w:lineRule="auto"/>
              <w:ind w:firstLine="420" w:firstLineChars="200"/>
              <w:rPr>
                <w:rFonts w:asciiTheme="minorEastAsia" w:hAnsiTheme="minorEastAsia" w:eastAsiaTheme="minorEastAsia"/>
                <w:szCs w:val="21"/>
                <w:lang w:val="zh-CN"/>
              </w:rPr>
            </w:pPr>
            <w:r>
              <w:rPr>
                <w:rFonts w:hint="eastAsia" w:asciiTheme="minorEastAsia" w:hAnsiTheme="minorEastAsia" w:eastAsiaTheme="minorEastAsia"/>
                <w:szCs w:val="21"/>
              </w:rPr>
              <w:t xml:space="preserve">9. </w:t>
            </w:r>
            <w:r>
              <w:rPr>
                <w:rFonts w:hint="eastAsia" w:asciiTheme="minorEastAsia" w:hAnsiTheme="minorEastAsia" w:eastAsiaTheme="minorEastAsia"/>
                <w:szCs w:val="21"/>
                <w:lang w:val="zh-CN"/>
              </w:rPr>
              <w:t>工作电压：220-240V  50/60Hz</w:t>
            </w:r>
          </w:p>
          <w:p>
            <w:pPr>
              <w:adjustRightInd w:val="0"/>
              <w:snapToGrid w:val="0"/>
              <w:spacing w:beforeLines="50" w:line="360" w:lineRule="auto"/>
              <w:ind w:firstLine="420" w:firstLineChars="200"/>
              <w:rPr>
                <w:rFonts w:asciiTheme="minorEastAsia" w:hAnsiTheme="minorEastAsia" w:eastAsiaTheme="minorEastAsia"/>
                <w:szCs w:val="21"/>
                <w:lang w:val="zh-CN"/>
              </w:rPr>
            </w:pPr>
            <w:r>
              <w:rPr>
                <w:rFonts w:hint="eastAsia" w:asciiTheme="minorEastAsia" w:hAnsiTheme="minorEastAsia" w:eastAsiaTheme="minorEastAsia"/>
                <w:szCs w:val="21"/>
              </w:rPr>
              <w:t xml:space="preserve">10. </w:t>
            </w:r>
            <w:r>
              <w:rPr>
                <w:rFonts w:hint="eastAsia" w:asciiTheme="minorEastAsia" w:hAnsiTheme="minorEastAsia" w:eastAsiaTheme="minorEastAsia"/>
                <w:szCs w:val="21"/>
                <w:lang w:val="zh-CN"/>
              </w:rPr>
              <w:t>下巴托功能</w:t>
            </w:r>
          </w:p>
          <w:p>
            <w:pPr>
              <w:adjustRightInd w:val="0"/>
              <w:snapToGrid w:val="0"/>
              <w:spacing w:beforeLines="50" w:line="360" w:lineRule="auto"/>
              <w:ind w:firstLine="420" w:firstLineChars="200"/>
              <w:rPr>
                <w:rFonts w:asciiTheme="minorEastAsia" w:hAnsiTheme="minorEastAsia" w:eastAsiaTheme="minorEastAsia"/>
                <w:szCs w:val="21"/>
                <w:lang w:val="zh-CN"/>
              </w:rPr>
            </w:pPr>
            <w:r>
              <w:rPr>
                <w:rFonts w:hint="eastAsia" w:asciiTheme="minorEastAsia" w:hAnsiTheme="minorEastAsia" w:eastAsiaTheme="minorEastAsia"/>
                <w:szCs w:val="21"/>
              </w:rPr>
              <w:t xml:space="preserve">11. </w:t>
            </w:r>
            <w:r>
              <w:rPr>
                <w:rFonts w:hint="eastAsia" w:asciiTheme="minorEastAsia" w:hAnsiTheme="minorEastAsia" w:eastAsiaTheme="minorEastAsia"/>
                <w:szCs w:val="21"/>
                <w:lang w:val="zh-CN"/>
              </w:rPr>
              <w:t>显示器：≥8.5英寸WVGA彩色LED显示器，触摸屏</w:t>
            </w:r>
          </w:p>
          <w:p>
            <w:pPr>
              <w:pStyle w:val="2"/>
              <w:rPr>
                <w:rFonts w:asciiTheme="minorEastAsia" w:hAnsiTheme="minorEastAsia" w:eastAsiaTheme="minor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spacing w:line="500" w:lineRule="exact"/>
              <w:rPr>
                <w:rFonts w:cs="Courier New" w:asciiTheme="minorEastAsia" w:hAnsiTheme="minorEastAsia" w:eastAsiaTheme="minorEastAsia"/>
                <w:b/>
                <w:bCs/>
                <w:szCs w:val="21"/>
                <w:lang w:val="zh-CN"/>
              </w:rPr>
            </w:pPr>
            <w:r>
              <w:rPr>
                <w:rFonts w:hint="eastAsia" w:cs="Courier New" w:asciiTheme="minorEastAsia" w:hAnsiTheme="minorEastAsia" w:eastAsiaTheme="minorEastAsia"/>
                <w:b/>
                <w:bCs/>
                <w:szCs w:val="21"/>
                <w:lang w:val="zh-CN"/>
              </w:rPr>
              <w:t>二、电脑角膜验光仪技术指标参数</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（一）验光仪参数</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球镜： -25D～+22D（0.12D/0.25D精度）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柱镜：  0D～±10D（0.12D/0.25D精度）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轴向：  0°～180°（1°或5°精度）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最小瞳孔直径： φ2.0mm</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（二）角膜曲率模式</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角膜曲率半径：   5.00mm～10.00mm（0.01mm精度）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角膜折射率参数： 1.3375</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角膜屈光参数：   67.5D～33.75D（0.12D/0.25D精度）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角膜散光：       0D～±10D（0.12D/0.25D精度）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 角膜散光轴向：   0°至180°（1°和5°精度）</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（三）其他</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操作方式：8.5英寸彩色触摸屏以及操纵杆两种操纵模式。</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旋转棱镜测量系统。在瞳孔直径为2mm的情况下仍可保证测量数据的准确和可靠性。</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打印纸切纸方式：  自动切纸</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瞳距测量范围：20～85mm（0.5 mm精度）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 数据传输方式：USB(输入), RS-232C(输出)，LAN(输出)</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 尺寸：317～341 mm（前后）×521～538 mm（左右）×447～477 mm（垂直）</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 重量：15.0kg</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 电源：100-240V 交流，50-60Hz，30-70VA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三、视力检查器技术参数能（含自动视力表投影仪）</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（一）测量项目及范围</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近视：0~-19.00D，间隔为0.25D(间隔为0.12D)</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远视：0~+16.75D，间隔为0.25D(间隔为0.12D)</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散光:：0~-6.00D(-8.00)，间隔为0.25D(间隔为0.12D)</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交叉柱镜：±0.25D(±0.37D和±0.50D可选)</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   隐斜视和会聚能力：20△至0至20△，间隔为1△, 向内40△，向外40△（50△），向上和向下均为40△（46△）</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   近用视力测试：当P.D.为64mm时，两个透镜的主光轴借助一个倾斜机构在眼睛前部40cm处会聚。如果远用视力的P.D.小于54mm，会聚操作将停止。</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   双眼平衡试验：提供有旋转棱镜法和偏振镜法</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   P.D.：48~75mm，间隔为1mm</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  水平调节：左边和右边都大于4.5度</w:t>
            </w:r>
          </w:p>
          <w:p>
            <w:pPr>
              <w:spacing w:line="460" w:lineRule="exact"/>
              <w:ind w:firstLine="210" w:firstLineChars="100"/>
              <w:rPr>
                <w:rFonts w:asciiTheme="minorEastAsia" w:hAnsiTheme="minorEastAsia" w:eastAsiaTheme="minorEastAsia"/>
                <w:szCs w:val="21"/>
              </w:rPr>
            </w:pPr>
            <w:r>
              <w:rPr>
                <w:rFonts w:hint="eastAsia" w:asciiTheme="minorEastAsia" w:hAnsiTheme="minorEastAsia" w:eastAsiaTheme="minorEastAsia"/>
                <w:bCs/>
                <w:szCs w:val="21"/>
              </w:rPr>
              <w:t>（二）辅助透镜表盘的内容</w:t>
            </w:r>
            <w:r>
              <w:rPr>
                <w:rFonts w:hint="eastAsia" w:asciiTheme="minorEastAsia" w:hAnsiTheme="minorEastAsia" w:eastAsiaTheme="minorEastAsia"/>
                <w:szCs w:val="21"/>
              </w:rPr>
              <w:t>：</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开孔：开孔片</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视网膜镜：+1.50D标准，+2.00可选</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偏振滤光片</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马氏杆，垂直：白色（左）红色（右）；</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 马氏杆，水平：白色（左）红色（右）</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 绿色透镜（左）</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 红色透镜（右）</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 +0.12D球镜</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 针孔镜</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10. 棱镜度基底向内（左）</w:t>
            </w:r>
          </w:p>
          <w:p>
            <w:pPr>
              <w:spacing w:line="460" w:lineRule="exact"/>
              <w:ind w:left="420"/>
              <w:rPr>
                <w:rFonts w:asciiTheme="minorEastAsia" w:hAnsiTheme="minorEastAsia" w:eastAsiaTheme="minorEastAsia"/>
                <w:szCs w:val="21"/>
              </w:rPr>
            </w:pPr>
            <w:r>
              <w:rPr>
                <w:rFonts w:hint="eastAsia" w:asciiTheme="minorEastAsia" w:hAnsiTheme="minorEastAsia" w:eastAsiaTheme="minorEastAsia"/>
                <w:szCs w:val="21"/>
              </w:rPr>
              <w:t>11.  6棱镜度基底向上（右）</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12. ±0.50固定交叉柱镜</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13. 遮盖</w:t>
            </w:r>
          </w:p>
          <w:p>
            <w:pPr>
              <w:rPr>
                <w:rFonts w:asciiTheme="minorEastAsia" w:hAnsiTheme="minorEastAsia" w:eastAsiaTheme="minorEastAsia"/>
                <w:b/>
                <w:bCs/>
                <w:szCs w:val="21"/>
              </w:rPr>
            </w:pPr>
            <w:r>
              <w:rPr>
                <w:rFonts w:hint="eastAsia" w:asciiTheme="minorEastAsia" w:hAnsiTheme="minorEastAsia" w:eastAsiaTheme="minorEastAsia"/>
                <w:b/>
                <w:szCs w:val="21"/>
              </w:rPr>
              <w:t>自动视力表投影仪技术指标参数</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（一）投影仪功能：</w:t>
            </w:r>
            <w:r>
              <w:rPr>
                <w:rFonts w:hint="eastAsia" w:asciiTheme="minorEastAsia" w:hAnsiTheme="minorEastAsia" w:eastAsiaTheme="minorEastAsia"/>
                <w:szCs w:val="21"/>
              </w:rPr>
              <w:t>带遥控器，可作远距离切换图表</w:t>
            </w:r>
          </w:p>
          <w:p>
            <w:pPr>
              <w:spacing w:line="460" w:lineRule="exact"/>
              <w:ind w:firstLine="210" w:firstLineChars="100"/>
              <w:rPr>
                <w:rFonts w:asciiTheme="minorEastAsia" w:hAnsiTheme="minorEastAsia" w:eastAsiaTheme="minorEastAsia"/>
                <w:bCs/>
                <w:szCs w:val="21"/>
              </w:rPr>
            </w:pPr>
            <w:r>
              <w:rPr>
                <w:rFonts w:hint="eastAsia" w:asciiTheme="minorEastAsia" w:hAnsiTheme="minorEastAsia" w:eastAsiaTheme="minorEastAsia"/>
                <w:bCs/>
                <w:szCs w:val="21"/>
              </w:rPr>
              <w:t>（二）投影仪参数：</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  投影距离：2.9m—6.1m</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  投影仪灯泡：≥12V 50W（碘钨灯）</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   投影放大率：≥30倍（5M范围内）</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   投影视标尺寸：≥330X270（mm），Φ 300mm</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   视力表图表数量：≥30幅</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   视标转换：≤0.03秒变换一幅</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   马氏杆数量：≥水平5行，垂直≥8行，≥21个单个独立视标</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（红绿滤光片）</w:t>
            </w:r>
          </w:p>
          <w:p>
            <w:pPr>
              <w:numPr>
                <w:ilvl w:val="0"/>
                <w:numId w:val="3"/>
              </w:num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  马氏杆转换：≤0.02秒变换一幅</w:t>
            </w:r>
          </w:p>
          <w:p>
            <w:pPr>
              <w:adjustRightInd w:val="0"/>
              <w:snapToGrid w:val="0"/>
              <w:spacing w:before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   程序设计：按照验光师习惯进行视标程序设定</w:t>
            </w:r>
          </w:p>
          <w:p>
            <w:pPr>
              <w:spacing w:line="480" w:lineRule="auto"/>
              <w:ind w:firstLine="210" w:firstLineChars="100"/>
              <w:rPr>
                <w:rFonts w:asciiTheme="minorEastAsia" w:hAnsiTheme="minorEastAsia" w:eastAsiaTheme="minorEastAsia"/>
                <w:szCs w:val="21"/>
              </w:rPr>
            </w:pPr>
            <w:r>
              <w:rPr>
                <w:rFonts w:hint="eastAsia" w:asciiTheme="minorEastAsia" w:hAnsiTheme="minorEastAsia" w:eastAsiaTheme="minorEastAsia"/>
                <w:bCs/>
                <w:szCs w:val="21"/>
              </w:rPr>
              <w:t>（三）关机功能</w:t>
            </w:r>
            <w:r>
              <w:rPr>
                <w:rFonts w:hint="eastAsia" w:asciiTheme="minorEastAsia" w:hAnsiTheme="minorEastAsia" w:eastAsiaTheme="minorEastAsia"/>
                <w:szCs w:val="21"/>
              </w:rPr>
              <w:t>：不使用该机10分钟后自动关机</w:t>
            </w:r>
          </w:p>
          <w:p>
            <w:pPr>
              <w:spacing w:line="480" w:lineRule="auto"/>
              <w:ind w:firstLine="210" w:firstLineChars="100"/>
              <w:rPr>
                <w:rFonts w:asciiTheme="minorEastAsia" w:hAnsiTheme="minorEastAsia" w:eastAsiaTheme="minorEastAsia"/>
                <w:szCs w:val="21"/>
              </w:rPr>
            </w:pPr>
            <w:r>
              <w:rPr>
                <w:rFonts w:hint="eastAsia" w:asciiTheme="minorEastAsia" w:hAnsiTheme="minorEastAsia" w:eastAsiaTheme="minorEastAsia"/>
                <w:bCs/>
                <w:szCs w:val="21"/>
              </w:rPr>
              <w:t>（四）电源电压</w:t>
            </w:r>
            <w:r>
              <w:rPr>
                <w:rFonts w:hint="eastAsia" w:asciiTheme="minorEastAsia" w:hAnsiTheme="minorEastAsia" w:eastAsiaTheme="minorEastAsia"/>
                <w:szCs w:val="21"/>
              </w:rPr>
              <w:t>：220-240V  50/60Hz</w:t>
            </w:r>
          </w:p>
          <w:p>
            <w:pPr>
              <w:spacing w:line="480" w:lineRule="auto"/>
              <w:ind w:firstLine="210" w:firstLineChars="100"/>
              <w:rPr>
                <w:rFonts w:asciiTheme="minorEastAsia" w:hAnsiTheme="minorEastAsia" w:eastAsiaTheme="minorEastAsia"/>
                <w:szCs w:val="21"/>
              </w:rPr>
            </w:pPr>
            <w:r>
              <w:rPr>
                <w:rFonts w:hint="eastAsia" w:asciiTheme="minorEastAsia" w:hAnsiTheme="minorEastAsia" w:eastAsiaTheme="minorEastAsia"/>
                <w:bCs/>
                <w:szCs w:val="21"/>
              </w:rPr>
              <w:t>（五）其他</w:t>
            </w:r>
            <w:r>
              <w:rPr>
                <w:rFonts w:hint="eastAsia" w:asciiTheme="minorEastAsia" w:hAnsiTheme="minorEastAsia" w:eastAsiaTheme="minorEastAsia"/>
                <w:szCs w:val="21"/>
              </w:rPr>
              <w:t>：可连接电脑视力检查器</w:t>
            </w:r>
          </w:p>
          <w:p>
            <w:pPr>
              <w:pStyle w:val="2"/>
              <w:rPr>
                <w:rFonts w:asciiTheme="minorEastAsia" w:hAnsiTheme="minorEastAsia" w:eastAsiaTheme="minorEastAsia"/>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tcPr>
          <w:p>
            <w:pPr>
              <w:pStyle w:val="2"/>
              <w:rPr>
                <w:rFonts w:asciiTheme="minorEastAsia" w:hAnsiTheme="minorEastAsia" w:eastAsiaTheme="minorEastAsia"/>
                <w:b/>
                <w:szCs w:val="21"/>
                <w:lang w:val="en-US"/>
              </w:rPr>
            </w:pPr>
            <w:r>
              <w:rPr>
                <w:rFonts w:hint="eastAsia" w:asciiTheme="minorEastAsia" w:hAnsiTheme="minorEastAsia" w:eastAsiaTheme="minorEastAsia"/>
                <w:b/>
                <w:szCs w:val="21"/>
                <w:lang w:val="en-US"/>
              </w:rPr>
              <w:t>四、配件</w:t>
            </w:r>
          </w:p>
          <w:p>
            <w:pPr>
              <w:pStyle w:val="3"/>
              <w:ind w:left="0" w:leftChars="0" w:firstLine="0" w:firstLineChars="0"/>
              <w:rPr>
                <w:rFonts w:ascii="Calibri" w:hAnsi="Calibri"/>
                <w:lang w:val="en-US"/>
              </w:rPr>
            </w:pPr>
            <w:r>
              <w:rPr>
                <w:rFonts w:hint="eastAsia" w:ascii="Calibri" w:hAnsi="Calibri"/>
                <w:lang w:val="en-US"/>
              </w:rPr>
              <w:t>广角镜，眼镜插片。</w:t>
            </w:r>
          </w:p>
        </w:tc>
      </w:tr>
    </w:tbl>
    <w:p>
      <w:pPr>
        <w:widowControl/>
        <w:jc w:val="left"/>
        <w:rPr>
          <w:rFonts w:ascii="宋体" w:hAnsi="宋体"/>
          <w:szCs w:val="21"/>
          <w:lang w:val="zh-CN"/>
        </w:rPr>
      </w:pPr>
      <w:r>
        <w:rPr>
          <w:rFonts w:ascii="宋体" w:hAnsi="宋体"/>
          <w:szCs w:val="21"/>
          <w:lang w:val="zh-CN"/>
        </w:rPr>
        <w:br w:type="page"/>
      </w:r>
    </w:p>
    <w:p>
      <w:pPr>
        <w:adjustRightInd w:val="0"/>
        <w:snapToGrid w:val="0"/>
        <w:spacing w:beforeLines="50" w:line="360" w:lineRule="auto"/>
        <w:ind w:firstLine="562" w:firstLineChars="200"/>
        <w:rPr>
          <w:rFonts w:ascii="宋体" w:hAnsi="宋体"/>
          <w:b/>
          <w:sz w:val="28"/>
          <w:szCs w:val="28"/>
          <w:lang w:val="zh-CN"/>
        </w:rPr>
      </w:pPr>
      <w:r>
        <w:rPr>
          <w:rFonts w:hint="eastAsia" w:ascii="宋体" w:hAnsi="宋体"/>
          <w:b/>
          <w:sz w:val="28"/>
          <w:szCs w:val="28"/>
          <w:lang w:val="zh-CN"/>
        </w:rPr>
        <w:t>包2：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tcPr>
          <w:p>
            <w:pPr>
              <w:spacing w:line="360" w:lineRule="auto"/>
              <w:rPr>
                <w:rFonts w:ascii="宋体" w:hAnsi="宋体" w:cs="宋体"/>
                <w:b/>
                <w:color w:val="000000"/>
                <w:szCs w:val="21"/>
              </w:rPr>
            </w:pPr>
            <w:r>
              <w:rPr>
                <w:rFonts w:hint="eastAsia" w:ascii="宋体" w:hAnsi="宋体" w:cs="宋体"/>
                <w:b/>
                <w:color w:val="000000"/>
                <w:szCs w:val="21"/>
              </w:rPr>
              <w:t>一、生物刺激反馈仪（评估机）</w:t>
            </w:r>
          </w:p>
          <w:p>
            <w:pPr>
              <w:spacing w:line="360" w:lineRule="auto"/>
              <w:rPr>
                <w:rFonts w:ascii="宋体" w:hAnsi="宋体" w:cs="宋体"/>
                <w:color w:val="000000"/>
                <w:szCs w:val="21"/>
              </w:rPr>
            </w:pPr>
            <w:r>
              <w:rPr>
                <w:rFonts w:hint="eastAsia" w:ascii="宋体" w:hAnsi="宋体" w:cs="宋体"/>
                <w:b/>
                <w:color w:val="000000"/>
                <w:szCs w:val="21"/>
              </w:rPr>
              <w:t>适用范围：</w:t>
            </w:r>
            <w:r>
              <w:rPr>
                <w:rFonts w:hint="eastAsia" w:ascii="宋体" w:hAnsi="宋体" w:cs="宋体"/>
                <w:color w:val="000000"/>
                <w:szCs w:val="21"/>
              </w:rPr>
              <w:t>对患者的体表肌电信号进行采集、分析和反馈训练。</w:t>
            </w:r>
          </w:p>
          <w:p>
            <w:pPr>
              <w:spacing w:line="360" w:lineRule="auto"/>
              <w:rPr>
                <w:rFonts w:ascii="宋体" w:hAnsi="宋体" w:cs="宋体"/>
                <w:b/>
                <w:color w:val="000000"/>
                <w:szCs w:val="21"/>
              </w:rPr>
            </w:pPr>
            <w:r>
              <w:rPr>
                <w:rFonts w:hint="eastAsia" w:ascii="宋体" w:hAnsi="宋体" w:cs="宋体"/>
                <w:b/>
                <w:color w:val="000000"/>
                <w:szCs w:val="21"/>
              </w:rPr>
              <w:t>技术参数：</w:t>
            </w:r>
          </w:p>
          <w:p>
            <w:pPr>
              <w:spacing w:line="360" w:lineRule="auto"/>
              <w:rPr>
                <w:rFonts w:ascii="Calibri" w:hAnsi="Calibri"/>
                <w:color w:val="000000"/>
                <w:szCs w:val="21"/>
              </w:rPr>
            </w:pPr>
            <w:r>
              <w:rPr>
                <w:rFonts w:hint="eastAsia" w:ascii="Calibri" w:hAnsi="Calibri"/>
                <w:color w:val="000000"/>
                <w:szCs w:val="21"/>
              </w:rPr>
              <w:t>1、主机包含电刺激、表面肌电采集和共用参考等三个通道接口；</w:t>
            </w:r>
          </w:p>
          <w:p>
            <w:pPr>
              <w:spacing w:line="360" w:lineRule="auto"/>
              <w:rPr>
                <w:rFonts w:ascii="Calibri" w:hAnsi="Calibri"/>
                <w:color w:val="000000"/>
                <w:szCs w:val="21"/>
              </w:rPr>
            </w:pPr>
            <w:r>
              <w:rPr>
                <w:rFonts w:hint="eastAsia" w:ascii="Calibri" w:hAnsi="Calibri"/>
                <w:color w:val="000000"/>
                <w:szCs w:val="21"/>
              </w:rPr>
              <w:t>2、测量范围：1μV～3000μV(r.m.s)；</w:t>
            </w:r>
          </w:p>
          <w:p>
            <w:pPr>
              <w:spacing w:line="360" w:lineRule="auto"/>
              <w:rPr>
                <w:rFonts w:ascii="Calibri" w:hAnsi="Calibri"/>
                <w:color w:val="000000"/>
                <w:szCs w:val="21"/>
              </w:rPr>
            </w:pPr>
            <w:r>
              <w:rPr>
                <w:rFonts w:hint="eastAsia" w:ascii="Calibri" w:hAnsi="Calibri"/>
                <w:color w:val="000000"/>
                <w:szCs w:val="21"/>
              </w:rPr>
              <w:t>3、最高分辨率：≤2μV(r.m.s)；</w:t>
            </w:r>
          </w:p>
          <w:p>
            <w:pPr>
              <w:spacing w:line="360" w:lineRule="auto"/>
              <w:rPr>
                <w:rFonts w:ascii="Calibri" w:hAnsi="Calibri"/>
                <w:color w:val="000000"/>
                <w:szCs w:val="21"/>
              </w:rPr>
            </w:pPr>
            <w:r>
              <w:rPr>
                <w:rFonts w:hint="eastAsia" w:ascii="Calibri" w:hAnsi="Calibri"/>
                <w:color w:val="000000"/>
                <w:szCs w:val="21"/>
              </w:rPr>
              <w:t>4、系统噪声：≤1μV；</w:t>
            </w:r>
          </w:p>
          <w:p>
            <w:pPr>
              <w:spacing w:line="360" w:lineRule="auto"/>
              <w:rPr>
                <w:rFonts w:ascii="Calibri" w:hAnsi="Calibri"/>
                <w:color w:val="000000"/>
                <w:szCs w:val="21"/>
              </w:rPr>
            </w:pPr>
            <w:r>
              <w:rPr>
                <w:rFonts w:hint="eastAsia" w:ascii="Calibri" w:hAnsi="Calibri"/>
                <w:color w:val="000000"/>
                <w:szCs w:val="21"/>
              </w:rPr>
              <w:t>5、多种盆底肌电评估模式：一分钟评估，三分钟评估和国际通用标准评估；</w:t>
            </w:r>
          </w:p>
          <w:p>
            <w:pPr>
              <w:spacing w:line="360" w:lineRule="auto"/>
              <w:rPr>
                <w:rFonts w:ascii="Calibri" w:hAnsi="Calibri"/>
                <w:color w:val="000000"/>
                <w:szCs w:val="21"/>
              </w:rPr>
            </w:pPr>
            <w:r>
              <w:rPr>
                <w:rFonts w:hint="eastAsia" w:ascii="Calibri" w:hAnsi="Calibri"/>
                <w:color w:val="000000"/>
                <w:szCs w:val="21"/>
              </w:rPr>
              <w:t>6、对盆腔Ⅰ类肌Ⅱ类肌的肌张力、肌耐力、肌肉协调性进行精准评估检测；</w:t>
            </w:r>
          </w:p>
          <w:p>
            <w:pPr>
              <w:spacing w:line="360" w:lineRule="auto"/>
              <w:rPr>
                <w:rFonts w:ascii="Calibri" w:hAnsi="Calibri"/>
                <w:color w:val="000000"/>
                <w:szCs w:val="21"/>
              </w:rPr>
            </w:pPr>
            <w:r>
              <w:rPr>
                <w:rFonts w:hint="eastAsia" w:ascii="Calibri" w:hAnsi="Calibri"/>
                <w:color w:val="000000"/>
                <w:szCs w:val="21"/>
              </w:rPr>
              <w:t>7、实时腹肌监测与异常动作提示，提高盆底肌评估与治疗的精确性；</w:t>
            </w:r>
          </w:p>
          <w:p>
            <w:pPr>
              <w:spacing w:line="360" w:lineRule="auto"/>
              <w:rPr>
                <w:rFonts w:ascii="Calibri" w:hAnsi="Calibri"/>
                <w:color w:val="000000"/>
                <w:szCs w:val="21"/>
              </w:rPr>
            </w:pPr>
            <w:r>
              <w:rPr>
                <w:rFonts w:hint="eastAsia" w:ascii="Calibri" w:hAnsi="Calibri"/>
                <w:color w:val="000000"/>
                <w:szCs w:val="21"/>
              </w:rPr>
              <w:t>8、结合临床路径管理规范，以国际通用标准评估的结果和盆底专科病历信息的患者症状为依据；</w:t>
            </w:r>
          </w:p>
          <w:p>
            <w:pPr>
              <w:spacing w:line="360" w:lineRule="auto"/>
              <w:rPr>
                <w:rFonts w:ascii="Calibri" w:hAnsi="Calibri"/>
                <w:color w:val="000000"/>
                <w:szCs w:val="21"/>
              </w:rPr>
            </w:pPr>
            <w:r>
              <w:rPr>
                <w:rFonts w:hint="eastAsia" w:ascii="Calibri" w:hAnsi="Calibri"/>
                <w:color w:val="000000"/>
                <w:szCs w:val="21"/>
              </w:rPr>
              <w:t>9、可自定义治疗方案，并可根据用户习惯对自定义方案进行排序；</w:t>
            </w:r>
          </w:p>
          <w:p>
            <w:pPr>
              <w:spacing w:line="360" w:lineRule="auto"/>
              <w:rPr>
                <w:rFonts w:ascii="Calibri" w:hAnsi="Calibri"/>
                <w:color w:val="000000"/>
                <w:szCs w:val="21"/>
              </w:rPr>
            </w:pPr>
            <w:r>
              <w:rPr>
                <w:rFonts w:hint="eastAsia" w:ascii="Calibri" w:hAnsi="Calibri"/>
                <w:color w:val="000000"/>
                <w:szCs w:val="21"/>
              </w:rPr>
              <w:t>10、可在诊疗记录中预览评估报告，回放评估过程，快速开始评估方案、治疗方案；</w:t>
            </w:r>
          </w:p>
          <w:p>
            <w:pPr>
              <w:spacing w:line="360" w:lineRule="auto"/>
              <w:rPr>
                <w:rFonts w:ascii="Calibri" w:hAnsi="Calibri"/>
                <w:color w:val="000000"/>
                <w:szCs w:val="21"/>
              </w:rPr>
            </w:pPr>
            <w:r>
              <w:rPr>
                <w:rFonts w:hint="eastAsia" w:ascii="Calibri" w:hAnsi="Calibri"/>
                <w:color w:val="000000"/>
                <w:szCs w:val="21"/>
              </w:rPr>
              <w:t>11、数据统计分析功能：可汇总导出患者的诊疗记录，可分析统计医生工作量、患者治疗数据。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tcPr>
          <w:p>
            <w:pPr>
              <w:spacing w:line="360" w:lineRule="auto"/>
              <w:rPr>
                <w:rFonts w:ascii="宋体" w:hAnsi="宋体" w:cs="宋体"/>
                <w:b/>
                <w:color w:val="000000"/>
                <w:szCs w:val="21"/>
              </w:rPr>
            </w:pPr>
            <w:r>
              <w:rPr>
                <w:rFonts w:hint="eastAsia" w:ascii="宋体" w:hAnsi="宋体" w:cs="宋体"/>
                <w:b/>
                <w:szCs w:val="21"/>
              </w:rPr>
              <w:t>二、</w:t>
            </w:r>
            <w:r>
              <w:rPr>
                <w:rFonts w:hint="eastAsia" w:ascii="宋体" w:hAnsi="宋体" w:cs="宋体"/>
                <w:b/>
                <w:color w:val="000000"/>
                <w:szCs w:val="21"/>
              </w:rPr>
              <w:t>生物刺激反馈仪（治疗机）</w:t>
            </w:r>
          </w:p>
          <w:p>
            <w:pPr>
              <w:spacing w:line="360" w:lineRule="auto"/>
              <w:rPr>
                <w:rFonts w:ascii="宋体" w:hAnsi="宋体" w:cs="宋体"/>
                <w:b/>
                <w:color w:val="000000"/>
                <w:szCs w:val="21"/>
              </w:rPr>
            </w:pPr>
            <w:r>
              <w:rPr>
                <w:rFonts w:hint="eastAsia" w:ascii="宋体" w:hAnsi="宋体" w:cs="宋体"/>
                <w:b/>
                <w:color w:val="000000"/>
                <w:szCs w:val="21"/>
              </w:rPr>
              <w:t>适用范围：</w:t>
            </w:r>
            <w:r>
              <w:rPr>
                <w:rFonts w:hint="eastAsia" w:ascii="宋体" w:hAnsi="宋体" w:cs="宋体"/>
                <w:color w:val="000000"/>
                <w:szCs w:val="21"/>
              </w:rPr>
              <w:t>对患者的体表肌电信号进行采集、分析和反馈训练，对患者的肌肉施加电刺激来恢复患者的肌肉功能障碍。</w:t>
            </w:r>
          </w:p>
          <w:p>
            <w:pPr>
              <w:spacing w:line="360" w:lineRule="auto"/>
              <w:rPr>
                <w:rFonts w:ascii="宋体" w:hAnsi="宋体" w:cs="宋体"/>
                <w:b/>
                <w:color w:val="000000"/>
                <w:szCs w:val="21"/>
              </w:rPr>
            </w:pPr>
            <w:r>
              <w:rPr>
                <w:rFonts w:hint="eastAsia" w:ascii="宋体" w:hAnsi="宋体" w:cs="宋体"/>
                <w:b/>
                <w:color w:val="000000"/>
                <w:szCs w:val="21"/>
              </w:rPr>
              <w:t>技术参数：</w:t>
            </w:r>
          </w:p>
          <w:p>
            <w:pPr>
              <w:tabs>
                <w:tab w:val="left" w:pos="630"/>
              </w:tabs>
              <w:spacing w:line="360" w:lineRule="auto"/>
              <w:rPr>
                <w:rFonts w:ascii="宋体" w:hAnsi="宋体" w:cs="宋体"/>
                <w:b/>
                <w:color w:val="000000"/>
                <w:szCs w:val="21"/>
              </w:rPr>
            </w:pPr>
            <w:r>
              <w:rPr>
                <w:rFonts w:hint="eastAsia" w:ascii="宋体" w:hAnsi="宋体" w:cs="宋体"/>
                <w:b/>
                <w:color w:val="000000"/>
                <w:szCs w:val="21"/>
              </w:rPr>
              <w:t>（一）硬件性能：</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四通道主机，包含电刺激、表面肌电采集和共用参考等A、B、C、D、REF五个通道接口；</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主机采用触控式导航面板；</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 xml:space="preserve">电刺激工作时，主机屏幕上能够显示实时电流和设定电流，可分别或同时调节各个通道的电流大小； </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测量范围：1μV～3000μV(r.m.s)；</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最高分辨率：≤2μV(r.m.s) ；</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输出电流：0～100 mA，最小可调节步长50 µA，可实现0-600μA的微电流刺激；</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刺激频率：0.5Hz～150Hz，最小可调节步长1Hz；</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脉冲宽度：50μs～500ms；</w:t>
            </w:r>
          </w:p>
          <w:p>
            <w:pPr>
              <w:numPr>
                <w:ilvl w:val="0"/>
                <w:numId w:val="4"/>
              </w:numPr>
              <w:spacing w:line="360" w:lineRule="auto"/>
              <w:rPr>
                <w:rFonts w:ascii="宋体" w:hAnsi="宋体" w:cs="宋体"/>
                <w:color w:val="000000"/>
                <w:szCs w:val="21"/>
              </w:rPr>
            </w:pPr>
            <w:r>
              <w:rPr>
                <w:rFonts w:hint="eastAsia" w:ascii="宋体" w:hAnsi="宋体" w:cs="宋体"/>
                <w:color w:val="000000"/>
                <w:szCs w:val="21"/>
              </w:rPr>
              <w:t>刺激/休息时间：1s～99s可调，最小可调节步长1s；</w:t>
            </w:r>
          </w:p>
          <w:p>
            <w:pPr>
              <w:tabs>
                <w:tab w:val="left" w:pos="630"/>
              </w:tabs>
              <w:spacing w:line="360" w:lineRule="auto"/>
              <w:rPr>
                <w:rFonts w:ascii="宋体" w:hAnsi="宋体" w:cs="宋体"/>
                <w:b/>
                <w:color w:val="000000"/>
                <w:szCs w:val="21"/>
              </w:rPr>
            </w:pPr>
            <w:r>
              <w:rPr>
                <w:rFonts w:hint="eastAsia" w:ascii="宋体" w:hAnsi="宋体" w:cs="宋体"/>
                <w:b/>
                <w:color w:val="000000"/>
                <w:szCs w:val="21"/>
              </w:rPr>
              <w:t>（二）软件功能</w:t>
            </w:r>
          </w:p>
          <w:p>
            <w:pPr>
              <w:numPr>
                <w:ilvl w:val="0"/>
                <w:numId w:val="5"/>
              </w:numPr>
              <w:spacing w:line="360" w:lineRule="auto"/>
              <w:rPr>
                <w:rFonts w:ascii="宋体" w:hAnsi="宋体" w:cs="宋体"/>
                <w:color w:val="000000"/>
                <w:szCs w:val="21"/>
              </w:rPr>
            </w:pPr>
            <w:r>
              <w:rPr>
                <w:rFonts w:hint="eastAsia" w:ascii="宋体" w:hAnsi="宋体" w:cs="宋体"/>
                <w:color w:val="000000"/>
                <w:szCs w:val="21"/>
              </w:rPr>
              <w:t>多种盆底肌电评估模式：一分钟评估，三分钟评估；</w:t>
            </w:r>
          </w:p>
          <w:p>
            <w:pPr>
              <w:numPr>
                <w:ilvl w:val="0"/>
                <w:numId w:val="5"/>
              </w:numPr>
              <w:tabs>
                <w:tab w:val="left" w:pos="420"/>
              </w:tabs>
              <w:autoSpaceDE w:val="0"/>
              <w:autoSpaceDN w:val="0"/>
              <w:adjustRightInd w:val="0"/>
              <w:spacing w:line="400" w:lineRule="exact"/>
              <w:ind w:left="0" w:firstLine="0"/>
              <w:rPr>
                <w:rFonts w:ascii="宋体" w:hAnsi="宋体" w:cs="宋体"/>
                <w:color w:val="000000"/>
                <w:szCs w:val="21"/>
              </w:rPr>
            </w:pPr>
            <w:r>
              <w:rPr>
                <w:rFonts w:hint="eastAsia" w:ascii="宋体" w:hAnsi="宋体" w:cs="宋体"/>
                <w:color w:val="000000"/>
                <w:szCs w:val="21"/>
              </w:rPr>
              <w:t xml:space="preserve">情景评估模式：采用蓝牙无线传输，可实现实际生活情景下如腹压增加时的盆底功能评估； </w:t>
            </w:r>
          </w:p>
          <w:p>
            <w:pPr>
              <w:numPr>
                <w:ilvl w:val="0"/>
                <w:numId w:val="5"/>
              </w:numPr>
              <w:spacing w:line="360" w:lineRule="auto"/>
              <w:ind w:left="5" w:hanging="5"/>
              <w:rPr>
                <w:rFonts w:ascii="宋体" w:hAnsi="宋体" w:cs="宋体"/>
                <w:color w:val="000000"/>
                <w:szCs w:val="21"/>
              </w:rPr>
            </w:pPr>
            <w:r>
              <w:rPr>
                <w:rFonts w:hint="eastAsia" w:ascii="宋体" w:hAnsi="宋体" w:cs="宋体"/>
                <w:color w:val="000000"/>
                <w:szCs w:val="21"/>
              </w:rPr>
              <w:t>神经肌肉电刺激、肌电触发电刺激，重建中枢对盆底肌肉的控制，具有尿失禁、盆腔脏器脱垂、便秘、子宫复旧、尿潴留、肌肉酸痛等专业治疗方案；</w:t>
            </w:r>
          </w:p>
          <w:p>
            <w:pPr>
              <w:numPr>
                <w:ilvl w:val="0"/>
                <w:numId w:val="5"/>
              </w:numPr>
              <w:spacing w:line="360" w:lineRule="auto"/>
              <w:rPr>
                <w:rFonts w:ascii="宋体" w:hAnsi="宋体" w:cs="宋体"/>
                <w:color w:val="000000"/>
                <w:szCs w:val="21"/>
              </w:rPr>
            </w:pPr>
            <w:r>
              <w:rPr>
                <w:rFonts w:hint="eastAsia" w:ascii="宋体" w:hAnsi="宋体" w:cs="宋体"/>
                <w:color w:val="000000"/>
                <w:szCs w:val="21"/>
              </w:rPr>
              <w:t>可自定义治疗方案，并可根据用户习惯对自定义方案进行排序；</w:t>
            </w:r>
          </w:p>
          <w:p>
            <w:pPr>
              <w:numPr>
                <w:ilvl w:val="0"/>
                <w:numId w:val="5"/>
              </w:numPr>
              <w:spacing w:line="360" w:lineRule="auto"/>
              <w:rPr>
                <w:rFonts w:ascii="宋体" w:hAnsi="宋体" w:cs="宋体"/>
                <w:color w:val="000000"/>
                <w:szCs w:val="21"/>
              </w:rPr>
            </w:pPr>
            <w:r>
              <w:rPr>
                <w:rFonts w:hint="eastAsia" w:ascii="宋体" w:hAnsi="宋体" w:cs="宋体"/>
                <w:color w:val="000000"/>
                <w:szCs w:val="21"/>
              </w:rPr>
              <w:t>可在诊疗记录中预览评估报告，回放评估过程，快速开始评估方案、治疗方案；</w:t>
            </w:r>
          </w:p>
          <w:p>
            <w:pPr>
              <w:numPr>
                <w:ilvl w:val="0"/>
                <w:numId w:val="5"/>
              </w:numPr>
              <w:spacing w:line="360" w:lineRule="auto"/>
              <w:ind w:left="0" w:firstLine="0"/>
              <w:rPr>
                <w:rFonts w:ascii="宋体" w:hAnsi="宋体" w:cs="宋体"/>
                <w:color w:val="000000"/>
                <w:szCs w:val="21"/>
              </w:rPr>
            </w:pPr>
            <w:r>
              <w:rPr>
                <w:rFonts w:hint="eastAsia" w:ascii="宋体" w:hAnsi="宋体" w:cs="宋体"/>
                <w:color w:val="000000"/>
                <w:szCs w:val="21"/>
              </w:rPr>
              <w:t>数据统计分析功能：可汇总导出患者的诊疗记录，可分析统计医生工作量、患者治疗数据以及耗材使用情况；</w:t>
            </w:r>
          </w:p>
          <w:p>
            <w:pPr>
              <w:numPr>
                <w:ilvl w:val="0"/>
                <w:numId w:val="5"/>
              </w:numPr>
              <w:spacing w:line="360" w:lineRule="auto"/>
              <w:rPr>
                <w:rFonts w:ascii="宋体" w:hAnsi="宋体" w:cs="宋体"/>
                <w:color w:val="000000"/>
              </w:rPr>
            </w:pPr>
            <w:r>
              <w:rPr>
                <w:rFonts w:hint="eastAsia" w:ascii="宋体" w:hAnsi="宋体" w:cs="宋体"/>
                <w:color w:val="000000"/>
                <w:szCs w:val="21"/>
              </w:rPr>
              <w:t>内置微云，可实现多种以及同类多台设备上患者基本信息、诊疗记录和方案参数的实时同步；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tcPr>
          <w:p>
            <w:pPr>
              <w:pStyle w:val="253"/>
              <w:numPr>
                <w:ilvl w:val="0"/>
                <w:numId w:val="6"/>
              </w:numPr>
              <w:tabs>
                <w:tab w:val="left" w:pos="630"/>
              </w:tabs>
              <w:spacing w:line="360" w:lineRule="auto"/>
              <w:ind w:firstLineChars="0"/>
              <w:rPr>
                <w:rFonts w:asciiTheme="minorEastAsia" w:hAnsiTheme="minorEastAsia" w:eastAsiaTheme="minorEastAsia"/>
                <w:b/>
                <w:color w:val="000000"/>
                <w:szCs w:val="21"/>
              </w:rPr>
            </w:pPr>
            <w:r>
              <w:rPr>
                <w:rFonts w:hint="eastAsia" w:asciiTheme="minorEastAsia" w:hAnsiTheme="minorEastAsia" w:eastAsiaTheme="minorEastAsia"/>
                <w:b/>
                <w:szCs w:val="21"/>
              </w:rPr>
              <w:t>生物刺激反馈仪（产康仪）</w:t>
            </w:r>
          </w:p>
          <w:p>
            <w:pPr>
              <w:spacing w:line="360" w:lineRule="auto"/>
              <w:rPr>
                <w:rFonts w:ascii="宋体" w:hAnsi="宋体" w:cs="宋体"/>
                <w:kern w:val="0"/>
              </w:rPr>
            </w:pPr>
            <w:r>
              <w:rPr>
                <w:rFonts w:hint="eastAsia" w:ascii="宋体" w:hAnsi="宋体" w:cs="宋体"/>
                <w:kern w:val="0"/>
              </w:rPr>
              <w:t>适用范围：对患者的体表肌电信号进行采集、分析和反馈训练，对患者肌肉施加电刺激，来帮助诊断和恢复患者的肌肉功能障碍。</w:t>
            </w:r>
          </w:p>
          <w:p>
            <w:pPr>
              <w:spacing w:line="360" w:lineRule="auto"/>
              <w:rPr>
                <w:rFonts w:ascii="宋体" w:hAnsi="宋体" w:cs="宋体"/>
                <w:kern w:val="0"/>
              </w:rPr>
            </w:pPr>
            <w:r>
              <w:rPr>
                <w:rFonts w:hint="eastAsia" w:ascii="宋体" w:hAnsi="宋体" w:cs="宋体"/>
                <w:kern w:val="0"/>
              </w:rPr>
              <w:t>硬件：</w:t>
            </w:r>
          </w:p>
          <w:p>
            <w:pPr>
              <w:pStyle w:val="253"/>
              <w:numPr>
                <w:ilvl w:val="0"/>
                <w:numId w:val="7"/>
              </w:numPr>
              <w:spacing w:line="360" w:lineRule="auto"/>
              <w:ind w:firstLineChars="0"/>
              <w:rPr>
                <w:rFonts w:ascii="宋体" w:hAnsi="宋体" w:cs="宋体"/>
                <w:kern w:val="0"/>
              </w:rPr>
            </w:pPr>
            <w:r>
              <w:rPr>
                <w:rFonts w:hint="eastAsia" w:ascii="宋体" w:hAnsi="宋体" w:cs="宋体"/>
                <w:kern w:val="0"/>
              </w:rPr>
              <w:t>主机：便携式内置触摸屏一体机，7寸灵敏电容触摸屏显示，支持外部旋钮调节</w:t>
            </w:r>
          </w:p>
          <w:p>
            <w:pPr>
              <w:pStyle w:val="253"/>
              <w:numPr>
                <w:ilvl w:val="0"/>
                <w:numId w:val="7"/>
              </w:numPr>
              <w:spacing w:line="360" w:lineRule="auto"/>
              <w:ind w:firstLineChars="0"/>
              <w:rPr>
                <w:rFonts w:ascii="宋体" w:hAnsi="宋体" w:cs="宋体"/>
              </w:rPr>
            </w:pPr>
            <w:r>
              <w:rPr>
                <w:rFonts w:hint="eastAsia" w:ascii="宋体" w:hAnsi="宋体" w:cs="宋体"/>
                <w:kern w:val="0"/>
              </w:rPr>
              <w:t>独立通道表面肌电采集</w:t>
            </w:r>
          </w:p>
          <w:p>
            <w:pPr>
              <w:pStyle w:val="253"/>
              <w:numPr>
                <w:ilvl w:val="0"/>
                <w:numId w:val="7"/>
              </w:numPr>
              <w:spacing w:line="360" w:lineRule="auto"/>
              <w:ind w:firstLineChars="0"/>
              <w:rPr>
                <w:rFonts w:ascii="宋体" w:hAnsi="宋体" w:cs="宋体"/>
              </w:rPr>
            </w:pPr>
            <w:r>
              <w:rPr>
                <w:rFonts w:hint="eastAsia" w:ascii="宋体" w:hAnsi="宋体" w:cs="宋体"/>
                <w:kern w:val="0"/>
              </w:rPr>
              <w:t>神经肌肉电刺激通道，支持多部位多患者使用</w:t>
            </w:r>
          </w:p>
          <w:p>
            <w:pPr>
              <w:pStyle w:val="253"/>
              <w:numPr>
                <w:ilvl w:val="0"/>
                <w:numId w:val="7"/>
              </w:numPr>
              <w:spacing w:line="360" w:lineRule="auto"/>
              <w:ind w:firstLineChars="0"/>
              <w:rPr>
                <w:rFonts w:ascii="宋体" w:hAnsi="宋体" w:cs="宋体"/>
              </w:rPr>
            </w:pPr>
            <w:r>
              <w:rPr>
                <w:rFonts w:hint="eastAsia" w:ascii="宋体" w:hAnsi="宋体" w:cs="宋体"/>
                <w:kern w:val="0"/>
              </w:rPr>
              <w:t>输出电流：0－100mA</w:t>
            </w:r>
          </w:p>
          <w:p>
            <w:pPr>
              <w:pStyle w:val="253"/>
              <w:numPr>
                <w:ilvl w:val="0"/>
                <w:numId w:val="7"/>
              </w:numPr>
              <w:spacing w:line="360" w:lineRule="auto"/>
              <w:ind w:firstLineChars="0"/>
              <w:rPr>
                <w:rFonts w:ascii="宋体" w:hAnsi="宋体" w:cs="宋体"/>
              </w:rPr>
            </w:pPr>
            <w:r>
              <w:rPr>
                <w:rFonts w:hint="eastAsia" w:ascii="宋体" w:hAnsi="宋体" w:cs="宋体"/>
                <w:kern w:val="0"/>
              </w:rPr>
              <w:t>调制模式：调制电刺激模式，可实现载波刺激及变频刺激，过程中不同频率、不同脉宽之间转换</w:t>
            </w:r>
          </w:p>
          <w:p>
            <w:pPr>
              <w:pStyle w:val="253"/>
              <w:numPr>
                <w:ilvl w:val="0"/>
                <w:numId w:val="7"/>
              </w:numPr>
              <w:spacing w:line="360" w:lineRule="auto"/>
              <w:ind w:firstLineChars="0"/>
              <w:rPr>
                <w:rFonts w:ascii="宋体" w:hAnsi="宋体" w:cs="宋体"/>
              </w:rPr>
            </w:pPr>
            <w:r>
              <w:rPr>
                <w:rFonts w:hint="eastAsia" w:ascii="宋体" w:hAnsi="宋体" w:cs="宋体"/>
                <w:kern w:val="0"/>
              </w:rPr>
              <w:t>脉冲宽度：10μs～1000μs</w:t>
            </w:r>
          </w:p>
          <w:p>
            <w:pPr>
              <w:pStyle w:val="253"/>
              <w:numPr>
                <w:ilvl w:val="0"/>
                <w:numId w:val="7"/>
              </w:numPr>
              <w:spacing w:line="360" w:lineRule="auto"/>
              <w:ind w:firstLineChars="0"/>
              <w:rPr>
                <w:rFonts w:ascii="宋体" w:hAnsi="宋体" w:cs="宋体"/>
              </w:rPr>
            </w:pPr>
            <w:r>
              <w:rPr>
                <w:rFonts w:hint="eastAsia" w:ascii="宋体" w:hAnsi="宋体" w:cs="宋体"/>
                <w:kern w:val="0"/>
              </w:rPr>
              <w:t>刺激频率：0.5Hz～999Hz，1Hz以上1Hz连续可调, 误差不大于±5%</w:t>
            </w:r>
          </w:p>
          <w:p>
            <w:pPr>
              <w:pStyle w:val="253"/>
              <w:numPr>
                <w:ilvl w:val="0"/>
                <w:numId w:val="7"/>
              </w:numPr>
              <w:spacing w:line="360" w:lineRule="auto"/>
              <w:ind w:firstLineChars="0"/>
              <w:rPr>
                <w:rFonts w:ascii="宋体" w:hAnsi="宋体" w:cs="宋体"/>
              </w:rPr>
            </w:pPr>
            <w:r>
              <w:rPr>
                <w:rFonts w:hint="eastAsia" w:ascii="宋体" w:hAnsi="宋体" w:cs="宋体"/>
                <w:kern w:val="0"/>
              </w:rPr>
              <w:t>测量范围：1μV～999μV(r.m.s)</w:t>
            </w:r>
          </w:p>
          <w:p>
            <w:pPr>
              <w:pStyle w:val="253"/>
              <w:numPr>
                <w:ilvl w:val="0"/>
                <w:numId w:val="7"/>
              </w:numPr>
              <w:spacing w:line="360" w:lineRule="auto"/>
              <w:ind w:firstLineChars="0"/>
              <w:rPr>
                <w:rFonts w:ascii="宋体" w:hAnsi="宋体" w:cs="宋体"/>
              </w:rPr>
            </w:pPr>
            <w:r>
              <w:rPr>
                <w:rFonts w:hint="eastAsia" w:ascii="宋体" w:hAnsi="宋体" w:cs="宋体"/>
                <w:kern w:val="0"/>
              </w:rPr>
              <w:t>最高分辨率：≤ 2μV(r.m.s)</w:t>
            </w:r>
          </w:p>
          <w:p>
            <w:pPr>
              <w:pStyle w:val="253"/>
              <w:numPr>
                <w:ilvl w:val="0"/>
                <w:numId w:val="7"/>
              </w:numPr>
              <w:spacing w:line="360" w:lineRule="auto"/>
              <w:ind w:firstLineChars="0"/>
              <w:rPr>
                <w:rFonts w:ascii="宋体" w:hAnsi="宋体" w:cs="宋体"/>
              </w:rPr>
            </w:pPr>
            <w:r>
              <w:rPr>
                <w:rFonts w:hint="eastAsia" w:ascii="宋体" w:hAnsi="宋体" w:cs="宋体"/>
                <w:kern w:val="0"/>
              </w:rPr>
              <w:t>通频带：20Hz～500Hz(-3dB)</w:t>
            </w:r>
          </w:p>
          <w:p>
            <w:pPr>
              <w:pStyle w:val="253"/>
              <w:numPr>
                <w:ilvl w:val="0"/>
                <w:numId w:val="7"/>
              </w:numPr>
              <w:spacing w:line="360" w:lineRule="auto"/>
              <w:ind w:firstLineChars="0"/>
              <w:rPr>
                <w:rFonts w:ascii="宋体" w:hAnsi="宋体" w:cs="宋体"/>
              </w:rPr>
            </w:pPr>
            <w:r>
              <w:rPr>
                <w:rFonts w:hint="eastAsia" w:ascii="宋体" w:hAnsi="宋体" w:cs="宋体"/>
                <w:kern w:val="0"/>
              </w:rPr>
              <w:t>一键式开机，直接进入操作软件界面,一键关机</w:t>
            </w:r>
          </w:p>
          <w:p>
            <w:pPr>
              <w:pStyle w:val="253"/>
              <w:numPr>
                <w:ilvl w:val="0"/>
                <w:numId w:val="7"/>
              </w:numPr>
              <w:spacing w:line="360" w:lineRule="auto"/>
              <w:ind w:firstLineChars="0"/>
              <w:rPr>
                <w:rFonts w:ascii="宋体" w:hAnsi="宋体" w:cs="宋体"/>
              </w:rPr>
            </w:pPr>
            <w:r>
              <w:rPr>
                <w:rFonts w:hint="eastAsia" w:ascii="宋体" w:hAnsi="宋体" w:cs="宋体"/>
                <w:kern w:val="0"/>
              </w:rPr>
              <w:t>通道标识区分，临床操作不易混乱。</w:t>
            </w:r>
          </w:p>
          <w:p>
            <w:pPr>
              <w:spacing w:line="360" w:lineRule="auto"/>
              <w:rPr>
                <w:rFonts w:ascii="宋体" w:hAnsi="宋体" w:cs="宋体"/>
              </w:rPr>
            </w:pPr>
            <w:r>
              <w:rPr>
                <w:rFonts w:hint="eastAsia" w:ascii="宋体" w:hAnsi="宋体" w:cs="宋体"/>
              </w:rPr>
              <w:t>软件：</w:t>
            </w:r>
          </w:p>
          <w:p>
            <w:pPr>
              <w:pStyle w:val="253"/>
              <w:spacing w:line="360" w:lineRule="auto"/>
              <w:ind w:firstLine="0" w:firstLineChars="0"/>
              <w:rPr>
                <w:rFonts w:ascii="宋体" w:hAnsi="宋体" w:cs="宋体"/>
                <w:kern w:val="0"/>
              </w:rPr>
            </w:pPr>
            <w:r>
              <w:rPr>
                <w:rFonts w:hint="eastAsia" w:ascii="宋体" w:hAnsi="宋体" w:cs="宋体"/>
                <w:kern w:val="0"/>
                <w:lang w:val="en-US"/>
              </w:rPr>
              <w:t>1.</w:t>
            </w:r>
            <w:r>
              <w:rPr>
                <w:rFonts w:hint="eastAsia" w:ascii="宋体" w:hAnsi="宋体" w:cs="宋体"/>
                <w:kern w:val="0"/>
              </w:rPr>
              <w:t>多种产康方案，满足产后常见症状的治疗，包括：子宫复旧、产后尿潴留、乳腺疏通、腹直肌分离、腰背痛、肌肉酸痛等。</w:t>
            </w:r>
          </w:p>
          <w:p>
            <w:pPr>
              <w:pStyle w:val="253"/>
              <w:spacing w:line="360" w:lineRule="auto"/>
              <w:ind w:firstLine="0" w:firstLineChars="0"/>
              <w:rPr>
                <w:rFonts w:ascii="宋体" w:hAnsi="宋体" w:cs="宋体"/>
              </w:rPr>
            </w:pPr>
            <w:r>
              <w:rPr>
                <w:rFonts w:hint="eastAsia" w:ascii="宋体" w:hAnsi="宋体" w:cs="宋体"/>
                <w:kern w:val="0"/>
                <w:lang w:val="en-US"/>
              </w:rPr>
              <w:t>2.</w:t>
            </w:r>
            <w:r>
              <w:rPr>
                <w:rFonts w:hint="eastAsia" w:ascii="宋体" w:hAnsi="宋体" w:cs="宋体"/>
                <w:kern w:val="0"/>
              </w:rPr>
              <w:t>自定义方案，客户可以自行编辑电刺激参数，设置方案，满足个性化和多样化的治疗。可以对方案的参数进行自定义设定并且存储。</w:t>
            </w:r>
          </w:p>
          <w:p>
            <w:pPr>
              <w:pStyle w:val="253"/>
              <w:spacing w:line="360" w:lineRule="auto"/>
              <w:ind w:firstLine="0" w:firstLineChars="0"/>
              <w:rPr>
                <w:rFonts w:ascii="宋体" w:hAnsi="宋体" w:cs="宋体"/>
              </w:rPr>
            </w:pPr>
            <w:r>
              <w:rPr>
                <w:rFonts w:hint="eastAsia" w:ascii="宋体" w:hAnsi="宋体" w:cs="宋体"/>
                <w:kern w:val="0"/>
                <w:lang w:val="en-US"/>
              </w:rPr>
              <w:t>3.</w:t>
            </w:r>
            <w:r>
              <w:rPr>
                <w:rFonts w:hint="eastAsia" w:ascii="宋体" w:hAnsi="宋体" w:cs="宋体"/>
                <w:kern w:val="0"/>
              </w:rPr>
              <w:t>方案设有电极片的粘贴示意图，方便客户操作。</w:t>
            </w:r>
          </w:p>
          <w:p>
            <w:pPr>
              <w:pStyle w:val="253"/>
              <w:spacing w:line="360" w:lineRule="auto"/>
              <w:ind w:firstLine="0" w:firstLineChars="0"/>
              <w:rPr>
                <w:rFonts w:ascii="宋体" w:hAnsi="宋体" w:cs="宋体"/>
              </w:rPr>
            </w:pPr>
            <w:r>
              <w:rPr>
                <w:rFonts w:hint="eastAsia" w:ascii="宋体" w:hAnsi="宋体" w:cs="宋体"/>
                <w:kern w:val="0"/>
                <w:lang w:val="en-US"/>
              </w:rPr>
              <w:t>4.</w:t>
            </w:r>
            <w:r>
              <w:rPr>
                <w:rFonts w:hint="eastAsia" w:ascii="宋体" w:hAnsi="宋体" w:cs="宋体"/>
                <w:kern w:val="0"/>
              </w:rPr>
              <w:t>自动识别贴片脱落，脱落自动断电停止，安全操作。</w:t>
            </w:r>
          </w:p>
          <w:p>
            <w:pPr>
              <w:pStyle w:val="253"/>
              <w:spacing w:line="360" w:lineRule="auto"/>
              <w:ind w:firstLine="0" w:firstLineChars="0"/>
              <w:rPr>
                <w:rFonts w:asciiTheme="minorEastAsia" w:hAnsiTheme="minorEastAsia" w:eastAsiaTheme="minorEastAsia"/>
                <w:szCs w:val="21"/>
              </w:rPr>
            </w:pPr>
            <w:r>
              <w:rPr>
                <w:rFonts w:hint="eastAsia" w:ascii="宋体" w:hAnsi="宋体" w:cs="宋体"/>
                <w:kern w:val="0"/>
                <w:lang w:val="en-US"/>
              </w:rPr>
              <w:t>5.</w:t>
            </w:r>
            <w:r>
              <w:rPr>
                <w:rFonts w:hint="eastAsia" w:ascii="宋体" w:hAnsi="宋体" w:cs="宋体"/>
                <w:kern w:val="0"/>
              </w:rPr>
              <w:t>系统设置：可以对系统的基本参数进行设置，包括屏幕校准，亮度调节，色彩调节，时间调节以及软件程序的更新等。</w:t>
            </w:r>
          </w:p>
        </w:tc>
      </w:tr>
    </w:tbl>
    <w:p>
      <w:pPr>
        <w:pStyle w:val="253"/>
        <w:ind w:firstLine="0" w:firstLineChars="0"/>
        <w:rPr>
          <w:rFonts w:ascii="宋体" w:hAnsi="宋体"/>
          <w:kern w:val="0"/>
        </w:rPr>
      </w:pPr>
    </w:p>
    <w:p>
      <w:pPr>
        <w:pStyle w:val="3"/>
        <w:ind w:left="0" w:leftChars="0" w:firstLine="0" w:firstLineChars="0"/>
        <w:rPr>
          <w:color w:val="000000" w:themeColor="text1"/>
        </w:rPr>
      </w:pPr>
      <w:r>
        <w:rPr>
          <w:rFonts w:hint="eastAsia"/>
          <w:color w:val="000000" w:themeColor="text1"/>
        </w:rPr>
        <w:t>以上参数均为采购人基本需求，若投标人所投产品优于以上参数视为响应谈判文件要求。</w:t>
      </w:r>
    </w:p>
    <w:p>
      <w:pPr>
        <w:spacing w:line="360" w:lineRule="auto"/>
        <w:rPr>
          <w:rFonts w:ascii="STHeiti Light" w:hAnsi="STHeiti Light" w:eastAsia="STHeiti Light"/>
          <w:color w:val="FF0000"/>
          <w:sz w:val="24"/>
        </w:rPr>
      </w:pPr>
    </w:p>
    <w:p>
      <w:pPr>
        <w:pStyle w:val="253"/>
        <w:ind w:firstLine="0" w:firstLineChars="0"/>
        <w:rPr>
          <w:rFonts w:ascii="宋体" w:hAnsi="宋体"/>
          <w:kern w:val="0"/>
          <w:sz w:val="24"/>
          <w:szCs w:val="24"/>
        </w:rPr>
      </w:pPr>
    </w:p>
    <w:p>
      <w:pPr>
        <w:spacing w:line="360" w:lineRule="auto"/>
        <w:rPr>
          <w:color w:val="000000"/>
          <w:sz w:val="24"/>
        </w:rPr>
      </w:pPr>
    </w:p>
    <w:p>
      <w:pPr>
        <w:spacing w:line="360" w:lineRule="auto"/>
        <w:rPr>
          <w:color w:val="000000"/>
          <w:sz w:val="24"/>
        </w:rPr>
      </w:pPr>
    </w:p>
    <w:p>
      <w:pPr>
        <w:widowControl/>
        <w:jc w:val="left"/>
        <w:rPr>
          <w:rFonts w:ascii="黑体" w:hAnsi="黑体" w:eastAsia="黑体"/>
          <w:b/>
          <w:bCs/>
          <w:sz w:val="28"/>
          <w:szCs w:val="28"/>
        </w:rPr>
      </w:pPr>
      <w:bookmarkStart w:id="40" w:name="_Toc6769"/>
      <w:r>
        <w:rPr>
          <w:rFonts w:ascii="黑体" w:hAnsi="黑体" w:eastAsia="黑体"/>
          <w:sz w:val="28"/>
          <w:szCs w:val="28"/>
        </w:rPr>
        <w:br w:type="page"/>
      </w:r>
    </w:p>
    <w:p>
      <w:pPr>
        <w:pStyle w:val="6"/>
        <w:jc w:val="center"/>
        <w:rPr>
          <w:rFonts w:ascii="黑体" w:hAnsi="黑体" w:eastAsia="黑体"/>
          <w:sz w:val="28"/>
          <w:szCs w:val="28"/>
        </w:rPr>
      </w:pPr>
      <w:r>
        <w:rPr>
          <w:rFonts w:hint="eastAsia" w:ascii="黑体" w:hAnsi="黑体" w:eastAsia="黑体"/>
          <w:sz w:val="28"/>
          <w:szCs w:val="28"/>
        </w:rPr>
        <w:t>第三节  商务要求</w:t>
      </w:r>
      <w:bookmarkEnd w:id="40"/>
    </w:p>
    <w:p>
      <w:pPr>
        <w:spacing w:line="360" w:lineRule="auto"/>
        <w:ind w:firstLine="213"/>
      </w:pPr>
      <w:r>
        <w:rPr>
          <w:rFonts w:hint="eastAsia" w:ascii="宋体" w:hAnsi="宋体" w:cs="宋体"/>
          <w:szCs w:val="21"/>
        </w:rPr>
        <w:t xml:space="preserve">一、主要商务要求 </w:t>
      </w:r>
    </w:p>
    <w:tbl>
      <w:tblPr>
        <w:tblStyle w:val="43"/>
        <w:tblW w:w="0" w:type="auto"/>
        <w:tblInd w:w="128" w:type="dxa"/>
        <w:tblLayout w:type="fixed"/>
        <w:tblCellMar>
          <w:top w:w="0" w:type="dxa"/>
          <w:left w:w="0" w:type="dxa"/>
          <w:bottom w:w="0" w:type="dxa"/>
          <w:right w:w="0" w:type="dxa"/>
        </w:tblCellMar>
      </w:tblPr>
      <w:tblGrid>
        <w:gridCol w:w="3089"/>
        <w:gridCol w:w="5767"/>
      </w:tblGrid>
      <w:tr>
        <w:tblPrEx>
          <w:tblCellMar>
            <w:top w:w="0" w:type="dxa"/>
            <w:left w:w="0" w:type="dxa"/>
            <w:bottom w:w="0" w:type="dxa"/>
            <w:right w:w="0" w:type="dxa"/>
          </w:tblCellMar>
        </w:tblPrEx>
        <w:trPr>
          <w:trHeight w:val="1863" w:hRule="atLeast"/>
        </w:trPr>
        <w:tc>
          <w:tcPr>
            <w:tcW w:w="3089" w:type="dxa"/>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rPr>
            </w:pPr>
            <w:r>
              <w:rPr>
                <w:rFonts w:hint="eastAsia" w:ascii="宋体" w:hAnsi="宋体" w:cs="宋体"/>
                <w:color w:val="000000" w:themeColor="text1"/>
                <w:szCs w:val="21"/>
              </w:rPr>
              <w:t>履行合同的时间、地点及方式</w:t>
            </w:r>
          </w:p>
        </w:tc>
        <w:tc>
          <w:tcPr>
            <w:tcW w:w="5767" w:type="dxa"/>
            <w:tcBorders>
              <w:top w:val="single" w:color="000000" w:sz="8" w:space="0"/>
              <w:left w:val="nil"/>
              <w:bottom w:val="single" w:color="000000" w:sz="8" w:space="0"/>
              <w:right w:val="single" w:color="000000" w:sz="8" w:space="0"/>
            </w:tcBorders>
            <w:noWrap/>
            <w:tcMar>
              <w:top w:w="0" w:type="dxa"/>
              <w:left w:w="108" w:type="dxa"/>
              <w:bottom w:w="0" w:type="dxa"/>
              <w:right w:w="108" w:type="dxa"/>
            </w:tcMar>
            <w:vAlign w:val="center"/>
          </w:tcPr>
          <w:p>
            <w:pPr>
              <w:rPr>
                <w:rFonts w:ascii="宋体" w:hAnsi="宋体" w:cs="宋体"/>
                <w:color w:val="000000" w:themeColor="text1"/>
                <w:szCs w:val="21"/>
                <w:u w:val="single"/>
              </w:rPr>
            </w:pPr>
            <w:r>
              <w:rPr>
                <w:rFonts w:ascii="宋体" w:hAnsi="宋体" w:cs="宋体"/>
                <w:color w:val="000000" w:themeColor="text1"/>
                <w:szCs w:val="21"/>
              </w:rPr>
              <w:t>交货时间：</w:t>
            </w:r>
            <w:r>
              <w:rPr>
                <w:rFonts w:hint="eastAsia" w:ascii="宋体" w:hAnsi="宋体" w:cs="宋体"/>
                <w:color w:val="000000" w:themeColor="text1"/>
                <w:szCs w:val="21"/>
              </w:rPr>
              <w:t xml:space="preserve">合同签订后30天内完成交货         </w:t>
            </w:r>
          </w:p>
          <w:p>
            <w:pPr>
              <w:rPr>
                <w:rFonts w:ascii="宋体" w:hAnsi="宋体" w:cs="宋体"/>
                <w:color w:val="000000" w:themeColor="text1"/>
                <w:szCs w:val="21"/>
              </w:rPr>
            </w:pPr>
          </w:p>
          <w:p>
            <w:pPr>
              <w:rPr>
                <w:rFonts w:ascii="宋体" w:hAnsi="宋体" w:cs="宋体"/>
                <w:color w:val="000000" w:themeColor="text1"/>
                <w:szCs w:val="21"/>
              </w:rPr>
            </w:pPr>
            <w:r>
              <w:rPr>
                <w:rFonts w:ascii="宋体" w:hAnsi="宋体" w:cs="宋体"/>
                <w:color w:val="000000" w:themeColor="text1"/>
                <w:szCs w:val="21"/>
              </w:rPr>
              <w:t>交货地点：</w:t>
            </w:r>
            <w:r>
              <w:rPr>
                <w:rFonts w:hint="eastAsia" w:ascii="宋体" w:hAnsi="宋体" w:cs="宋体"/>
                <w:color w:val="000000" w:themeColor="text1"/>
                <w:szCs w:val="21"/>
              </w:rPr>
              <w:t>采购人指定地点</w:t>
            </w:r>
            <w:r>
              <w:rPr>
                <w:rFonts w:ascii="宋体" w:hAnsi="宋体" w:cs="宋体"/>
                <w:color w:val="000000" w:themeColor="text1"/>
                <w:szCs w:val="21"/>
              </w:rPr>
              <w:t xml:space="preserve"> </w:t>
            </w:r>
          </w:p>
          <w:p>
            <w:pPr>
              <w:rPr>
                <w:rFonts w:ascii="宋体" w:hAnsi="宋体" w:cs="宋体"/>
                <w:color w:val="000000" w:themeColor="text1"/>
                <w:szCs w:val="21"/>
              </w:rPr>
            </w:pPr>
          </w:p>
          <w:p>
            <w:pPr>
              <w:rPr>
                <w:color w:val="000000" w:themeColor="text1"/>
                <w:u w:val="single"/>
              </w:rPr>
            </w:pPr>
            <w:r>
              <w:rPr>
                <w:rFonts w:hint="eastAsia" w:ascii="宋体" w:hAnsi="宋体" w:cs="宋体"/>
                <w:color w:val="000000" w:themeColor="text1"/>
                <w:szCs w:val="21"/>
              </w:rPr>
              <w:t>交货方式：货到指点地点且移交相关资料</w:t>
            </w:r>
          </w:p>
        </w:tc>
      </w:tr>
      <w:tr>
        <w:tblPrEx>
          <w:tblCellMar>
            <w:top w:w="0" w:type="dxa"/>
            <w:left w:w="0" w:type="dxa"/>
            <w:bottom w:w="0" w:type="dxa"/>
            <w:right w:w="0" w:type="dxa"/>
          </w:tblCellMar>
        </w:tblPrEx>
        <w:trPr>
          <w:trHeight w:val="570" w:hRule="atLeast"/>
        </w:trPr>
        <w:tc>
          <w:tcPr>
            <w:tcW w:w="3089"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rPr>
            </w:pPr>
            <w:r>
              <w:rPr>
                <w:rFonts w:hint="eastAsia" w:ascii="宋体" w:hAnsi="宋体" w:cs="宋体"/>
                <w:color w:val="000000" w:themeColor="text1"/>
                <w:szCs w:val="21"/>
              </w:rPr>
              <w:t>质量保证期</w:t>
            </w:r>
          </w:p>
        </w:tc>
        <w:tc>
          <w:tcPr>
            <w:tcW w:w="5767"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u w:val="single"/>
              </w:rPr>
            </w:pPr>
            <w:r>
              <w:rPr>
                <w:rFonts w:hint="eastAsia" w:ascii="宋体" w:hAnsi="宋体" w:cs="宋体"/>
                <w:color w:val="000000" w:themeColor="text1"/>
                <w:szCs w:val="21"/>
              </w:rPr>
              <w:t xml:space="preserve"> 一年        </w:t>
            </w:r>
          </w:p>
        </w:tc>
      </w:tr>
      <w:tr>
        <w:tblPrEx>
          <w:tblCellMar>
            <w:top w:w="0" w:type="dxa"/>
            <w:left w:w="0" w:type="dxa"/>
            <w:bottom w:w="0" w:type="dxa"/>
            <w:right w:w="0" w:type="dxa"/>
          </w:tblCellMar>
        </w:tblPrEx>
        <w:trPr>
          <w:trHeight w:val="537" w:hRule="atLeast"/>
        </w:trPr>
        <w:tc>
          <w:tcPr>
            <w:tcW w:w="3089"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rPr>
            </w:pPr>
            <w:r>
              <w:rPr>
                <w:rFonts w:hint="eastAsia" w:ascii="宋体" w:hAnsi="宋体" w:cs="宋体"/>
                <w:color w:val="000000" w:themeColor="text1"/>
                <w:szCs w:val="21"/>
              </w:rPr>
              <w:t>响应时间</w:t>
            </w:r>
          </w:p>
        </w:tc>
        <w:tc>
          <w:tcPr>
            <w:tcW w:w="5767"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spacing w:line="360" w:lineRule="auto"/>
              <w:rPr>
                <w:color w:val="000000" w:themeColor="text1"/>
              </w:rPr>
            </w:pPr>
            <w:r>
              <w:rPr>
                <w:rFonts w:hint="eastAsia"/>
                <w:color w:val="000000" w:themeColor="text1"/>
              </w:rPr>
              <w:t>1.提供7×24小时的故障服务受理</w:t>
            </w:r>
          </w:p>
          <w:p>
            <w:pPr>
              <w:spacing w:line="360" w:lineRule="auto"/>
              <w:rPr>
                <w:rFonts w:ascii="宋体" w:hAnsi="宋体" w:cs="宋体"/>
                <w:color w:val="000000" w:themeColor="text1"/>
                <w:szCs w:val="21"/>
                <w:u w:val="single"/>
              </w:rPr>
            </w:pPr>
            <w:r>
              <w:rPr>
                <w:rFonts w:hint="eastAsia" w:ascii="宋体" w:hAnsi="宋体" w:cs="宋体"/>
                <w:bCs/>
                <w:color w:val="000000" w:themeColor="text1"/>
                <w:szCs w:val="21"/>
              </w:rPr>
              <w:t>2.对重大故障提供7×24小时的现场支援，一般故障提供5×8小时的现场支援</w:t>
            </w:r>
          </w:p>
        </w:tc>
      </w:tr>
      <w:tr>
        <w:tblPrEx>
          <w:tblCellMar>
            <w:top w:w="0" w:type="dxa"/>
            <w:left w:w="0" w:type="dxa"/>
            <w:bottom w:w="0" w:type="dxa"/>
            <w:right w:w="0" w:type="dxa"/>
          </w:tblCellMar>
        </w:tblPrEx>
        <w:trPr>
          <w:trHeight w:val="1962" w:hRule="atLeast"/>
        </w:trPr>
        <w:tc>
          <w:tcPr>
            <w:tcW w:w="3089"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rPr>
            </w:pPr>
            <w:r>
              <w:rPr>
                <w:rFonts w:hint="eastAsia" w:ascii="宋体" w:hAnsi="宋体" w:cs="宋体"/>
                <w:color w:val="000000" w:themeColor="text1"/>
                <w:szCs w:val="21"/>
              </w:rPr>
              <w:t>合同价款支付方式和条件</w:t>
            </w:r>
          </w:p>
        </w:tc>
        <w:tc>
          <w:tcPr>
            <w:tcW w:w="5767"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spacing w:line="360" w:lineRule="auto"/>
              <w:rPr>
                <w:rFonts w:ascii="宋体" w:hAnsi="宋体" w:cs="宋体"/>
                <w:color w:val="000000" w:themeColor="text1"/>
                <w:szCs w:val="21"/>
              </w:rPr>
            </w:pPr>
            <w:r>
              <w:rPr>
                <w:rFonts w:hint="eastAsia" w:ascii="宋体" w:hAnsi="宋体" w:cs="宋体"/>
                <w:color w:val="000000" w:themeColor="text1"/>
                <w:szCs w:val="21"/>
              </w:rPr>
              <w:t>支付方式：国库集中支付</w:t>
            </w:r>
          </w:p>
          <w:p>
            <w:pPr>
              <w:spacing w:line="360" w:lineRule="auto"/>
              <w:rPr>
                <w:rFonts w:ascii="宋体" w:hAnsi="宋体" w:cs="宋体"/>
                <w:b/>
                <w:bCs/>
                <w:color w:val="000000" w:themeColor="text1"/>
                <w:szCs w:val="21"/>
              </w:rPr>
            </w:pPr>
            <w:r>
              <w:rPr>
                <w:rFonts w:hint="eastAsia" w:ascii="宋体" w:hAnsi="宋体" w:cs="宋体"/>
                <w:color w:val="000000" w:themeColor="text1"/>
                <w:szCs w:val="21"/>
              </w:rPr>
              <w:t>付款条件： 所有设备安装调试完毕，成交供应商提出申请，采购人组织相关人员验收，验收合格后支付合同总额的95%，余款5%在所有产品一年质保期满后（无质量问题、售后服务纠纷，以及其他经济法律纠纷等）无息付清。</w:t>
            </w:r>
          </w:p>
        </w:tc>
      </w:tr>
    </w:tbl>
    <w:p>
      <w:pPr>
        <w:pStyle w:val="253"/>
        <w:numPr>
          <w:ilvl w:val="0"/>
          <w:numId w:val="8"/>
        </w:numPr>
        <w:spacing w:line="360" w:lineRule="auto"/>
        <w:ind w:firstLineChars="0"/>
        <w:rPr>
          <w:color w:val="000000"/>
        </w:rPr>
      </w:pPr>
      <w:r>
        <w:rPr>
          <w:rFonts w:hint="eastAsia"/>
          <w:color w:val="000000"/>
        </w:rPr>
        <w:t>其他要求：</w:t>
      </w:r>
    </w:p>
    <w:p>
      <w:pPr>
        <w:pStyle w:val="253"/>
        <w:numPr>
          <w:ilvl w:val="0"/>
          <w:numId w:val="9"/>
        </w:numPr>
        <w:spacing w:line="360" w:lineRule="auto"/>
        <w:ind w:firstLineChars="0"/>
        <w:rPr>
          <w:color w:val="000000"/>
        </w:rPr>
      </w:pPr>
      <w:r>
        <w:rPr>
          <w:rFonts w:hint="eastAsia"/>
          <w:color w:val="000000"/>
        </w:rPr>
        <w:t>包1、包2所投所有产品须具有医疗器械注册证书，提供证书复印件。</w:t>
      </w:r>
    </w:p>
    <w:p>
      <w:pPr>
        <w:pStyle w:val="4"/>
        <w:numPr>
          <w:ilvl w:val="0"/>
          <w:numId w:val="9"/>
        </w:numPr>
        <w:rPr>
          <w:rFonts w:ascii="Calibri" w:hAnsi="Calibri"/>
          <w:b w:val="0"/>
          <w:color w:val="000000"/>
          <w:sz w:val="21"/>
          <w:szCs w:val="22"/>
          <w:lang w:val="zh-CN"/>
        </w:rPr>
      </w:pPr>
      <w:r>
        <w:rPr>
          <w:rFonts w:hint="eastAsia" w:ascii="Calibri" w:hAnsi="Calibri"/>
          <w:b w:val="0"/>
          <w:color w:val="000000"/>
          <w:sz w:val="21"/>
          <w:szCs w:val="22"/>
          <w:lang w:val="zh-CN"/>
        </w:rPr>
        <w:t>投标人所投产品为进口产品的供货时需提供中华人民共和国进出口商品检验部门出具的检验证书。</w:t>
      </w:r>
    </w:p>
    <w:p>
      <w:pPr>
        <w:pStyle w:val="3"/>
        <w:ind w:left="0" w:leftChars="0" w:firstLine="0" w:firstLineChars="0"/>
        <w:rPr>
          <w:rFonts w:ascii="Calibri" w:hAnsi="Calibri"/>
          <w:color w:val="000000"/>
          <w:sz w:val="21"/>
          <w:szCs w:val="22"/>
        </w:rPr>
      </w:pPr>
      <w:r>
        <w:rPr>
          <w:rFonts w:hint="eastAsia" w:ascii="Calibri" w:hAnsi="Calibri"/>
          <w:color w:val="000000"/>
          <w:sz w:val="21"/>
          <w:szCs w:val="22"/>
        </w:rPr>
        <w:t>3、政策加征关税部分包含在投标报价，采购人不再另外支付。</w:t>
      </w:r>
    </w:p>
    <w:p>
      <w:pPr>
        <w:pStyle w:val="2"/>
        <w:rPr>
          <w:rFonts w:ascii="Calibri" w:hAnsi="Calibri"/>
          <w:color w:val="000000"/>
          <w:szCs w:val="22"/>
        </w:rPr>
      </w:pPr>
    </w:p>
    <w:p>
      <w:pPr>
        <w:spacing w:line="360" w:lineRule="auto"/>
        <w:ind w:firstLine="422"/>
        <w:rPr>
          <w:rFonts w:ascii="宋体" w:hAnsi="宋体" w:cs="宋体"/>
          <w:b/>
          <w:bCs/>
          <w:color w:val="000000"/>
          <w:szCs w:val="21"/>
        </w:rPr>
      </w:pPr>
      <w:r>
        <w:rPr>
          <w:rFonts w:ascii="宋体" w:hAnsi="宋体" w:cs="宋体"/>
          <w:b/>
          <w:bCs/>
          <w:color w:val="000000"/>
          <w:szCs w:val="21"/>
        </w:rPr>
        <w:t>注：在谈判过程中，谈判文件可能发生实质性变动的技术、服务要求以及合同草案条款，已在文件谈判须知前附表中注明。</w:t>
      </w:r>
    </w:p>
    <w:p>
      <w:pPr>
        <w:widowControl/>
        <w:jc w:val="left"/>
        <w:rPr>
          <w:rFonts w:asciiTheme="minorEastAsia" w:hAnsiTheme="minorEastAsia" w:eastAsiaTheme="minorEastAsia"/>
          <w:szCs w:val="21"/>
        </w:rPr>
      </w:pPr>
    </w:p>
    <w:p>
      <w:pPr>
        <w:widowControl/>
        <w:jc w:val="left"/>
        <w:rPr>
          <w:rFonts w:asciiTheme="minorEastAsia" w:hAnsiTheme="minorEastAsia" w:eastAsiaTheme="minorEastAsia"/>
          <w:b/>
          <w:bCs/>
          <w:szCs w:val="21"/>
        </w:rPr>
      </w:pPr>
      <w:r>
        <w:rPr>
          <w:rFonts w:asciiTheme="minorEastAsia" w:hAnsiTheme="minorEastAsia" w:eastAsiaTheme="minorEastAsia"/>
          <w:szCs w:val="21"/>
        </w:rPr>
        <w:br w:type="page"/>
      </w:r>
    </w:p>
    <w:p>
      <w:pPr>
        <w:pStyle w:val="5"/>
        <w:adjustRightInd w:val="0"/>
        <w:snapToGrid w:val="0"/>
        <w:spacing w:beforeLines="50" w:line="360" w:lineRule="auto"/>
        <w:rPr>
          <w:rFonts w:ascii="黑体" w:hAnsi="黑体" w:eastAsia="黑体"/>
          <w:sz w:val="32"/>
          <w:szCs w:val="32"/>
        </w:rPr>
      </w:pPr>
      <w:bookmarkStart w:id="41" w:name="_Toc14441"/>
      <w:r>
        <w:rPr>
          <w:rFonts w:hint="eastAsia" w:ascii="黑体" w:hAnsi="黑体" w:eastAsia="黑体"/>
          <w:sz w:val="32"/>
          <w:szCs w:val="32"/>
        </w:rPr>
        <w:t>第四章 合同草案条款</w:t>
      </w:r>
      <w:bookmarkEnd w:id="41"/>
    </w:p>
    <w:p>
      <w:pPr>
        <w:pStyle w:val="6"/>
        <w:adjustRightInd w:val="0"/>
        <w:snapToGrid w:val="0"/>
        <w:spacing w:beforeLines="50"/>
        <w:jc w:val="center"/>
        <w:rPr>
          <w:rFonts w:ascii="黑体" w:hAnsi="华文中宋" w:eastAsia="黑体"/>
          <w:sz w:val="28"/>
          <w:szCs w:val="28"/>
        </w:rPr>
      </w:pPr>
      <w:bookmarkStart w:id="42" w:name="_Toc22201110"/>
      <w:bookmarkStart w:id="43" w:name="_Toc8676"/>
      <w:r>
        <w:rPr>
          <w:rFonts w:hint="eastAsia" w:ascii="黑体" w:hAnsi="华文中宋" w:eastAsia="黑体"/>
          <w:sz w:val="28"/>
          <w:szCs w:val="28"/>
        </w:rPr>
        <w:t>第一节 合同协议书</w:t>
      </w:r>
      <w:bookmarkEnd w:id="42"/>
      <w:bookmarkEnd w:id="43"/>
    </w:p>
    <w:p>
      <w:pPr>
        <w:adjustRightInd w:val="0"/>
        <w:snapToGrid w:val="0"/>
        <w:spacing w:beforeLines="50" w:line="360" w:lineRule="auto"/>
        <w:ind w:firstLine="5460" w:firstLineChars="2600"/>
        <w:rPr>
          <w:rFonts w:ascii="宋体" w:hAnsi="宋体"/>
          <w:b/>
          <w:color w:val="000000"/>
          <w:szCs w:val="21"/>
        </w:rPr>
      </w:pPr>
      <w:r>
        <w:rPr>
          <w:rFonts w:hint="eastAsia" w:ascii="宋体" w:hAnsi="宋体"/>
          <w:color w:val="000000"/>
          <w:szCs w:val="21"/>
        </w:rPr>
        <w:t>采购合同编号：</w:t>
      </w:r>
    </w:p>
    <w:p>
      <w:pPr>
        <w:adjustRightInd w:val="0"/>
        <w:snapToGrid w:val="0"/>
        <w:spacing w:beforeLines="50" w:line="360" w:lineRule="auto"/>
        <w:jc w:val="center"/>
        <w:rPr>
          <w:rFonts w:ascii="宋体" w:hAnsi="宋体"/>
          <w:b/>
          <w:color w:val="000000"/>
          <w:szCs w:val="21"/>
        </w:rPr>
      </w:pPr>
    </w:p>
    <w:p>
      <w:pPr>
        <w:adjustRightInd w:val="0"/>
        <w:snapToGrid w:val="0"/>
        <w:spacing w:beforeLines="50" w:line="360" w:lineRule="auto"/>
        <w:rPr>
          <w:rFonts w:ascii="宋体" w:hAnsi="宋体"/>
          <w:color w:val="000000"/>
          <w:szCs w:val="21"/>
        </w:rPr>
      </w:pPr>
      <w:r>
        <w:rPr>
          <w:rFonts w:hint="eastAsia" w:ascii="宋体" w:hAnsi="宋体"/>
          <w:color w:val="000000"/>
          <w:szCs w:val="21"/>
        </w:rPr>
        <w:t>采购人（全称）：（甲方）</w:t>
      </w:r>
    </w:p>
    <w:p>
      <w:pPr>
        <w:adjustRightInd w:val="0"/>
        <w:snapToGrid w:val="0"/>
        <w:spacing w:beforeLines="50" w:line="360" w:lineRule="auto"/>
        <w:rPr>
          <w:rFonts w:ascii="宋体" w:hAnsi="宋体"/>
          <w:color w:val="000000"/>
          <w:szCs w:val="21"/>
        </w:rPr>
      </w:pPr>
      <w:r>
        <w:rPr>
          <w:rFonts w:hint="eastAsia" w:ascii="宋体" w:hAnsi="宋体"/>
          <w:color w:val="000000"/>
          <w:szCs w:val="21"/>
        </w:rPr>
        <w:t>供应商（全称）：（乙方）</w:t>
      </w:r>
    </w:p>
    <w:p>
      <w:pPr>
        <w:pStyle w:val="20"/>
        <w:adjustRightInd w:val="0"/>
        <w:snapToGrid w:val="0"/>
        <w:spacing w:beforeLines="50" w:after="0" w:line="360" w:lineRule="auto"/>
        <w:rPr>
          <w:rFonts w:ascii="宋体" w:hAnsi="宋体"/>
          <w:color w:val="000000"/>
          <w:szCs w:val="21"/>
        </w:rPr>
      </w:pPr>
    </w:p>
    <w:p>
      <w:pPr>
        <w:pStyle w:val="20"/>
        <w:adjustRightInd w:val="0"/>
        <w:snapToGrid w:val="0"/>
        <w:spacing w:beforeLines="50" w:after="0" w:line="360" w:lineRule="auto"/>
        <w:ind w:left="0" w:leftChars="0" w:firstLine="420" w:firstLineChars="200"/>
        <w:rPr>
          <w:rFonts w:ascii="宋体" w:hAnsi="宋体"/>
          <w:color w:val="000000"/>
          <w:szCs w:val="21"/>
        </w:rPr>
      </w:pPr>
      <w:r>
        <w:rPr>
          <w:rFonts w:hint="eastAsia" w:ascii="宋体" w:hAnsi="宋体"/>
          <w:color w:val="000000"/>
          <w:szCs w:val="21"/>
        </w:rPr>
        <w:t>为了保护甲、乙双方合法权益，根据《中华人民共和国合同法》、《中华人民共和国政府采购法》及其他有关法律、法规、规章，双方签订本合同协议书。</w:t>
      </w:r>
    </w:p>
    <w:p>
      <w:pPr>
        <w:pStyle w:val="7"/>
        <w:adjustRightInd w:val="0"/>
        <w:snapToGrid w:val="0"/>
        <w:spacing w:before="50" w:after="0" w:line="360" w:lineRule="auto"/>
        <w:rPr>
          <w:rFonts w:ascii="黑体" w:hAnsi="黑体" w:eastAsia="黑体"/>
          <w:sz w:val="24"/>
          <w:szCs w:val="24"/>
        </w:rPr>
      </w:pPr>
      <w:bookmarkStart w:id="44" w:name="_Toc14398"/>
      <w:r>
        <w:rPr>
          <w:rFonts w:hint="eastAsia" w:ascii="黑体" w:hAnsi="黑体" w:eastAsia="黑体"/>
          <w:sz w:val="24"/>
          <w:szCs w:val="24"/>
        </w:rPr>
        <w:t>1.项目信息</w:t>
      </w:r>
      <w:bookmarkEnd w:id="44"/>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（1）采购项目名称：</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（2）采购计划编号：</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（3）项目内容：</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（4）项目负责人： 。</w:t>
      </w:r>
    </w:p>
    <w:p>
      <w:pPr>
        <w:pStyle w:val="7"/>
        <w:adjustRightInd w:val="0"/>
        <w:snapToGrid w:val="0"/>
        <w:spacing w:before="50" w:after="0" w:line="360" w:lineRule="auto"/>
        <w:rPr>
          <w:rFonts w:ascii="黑体" w:hAnsi="黑体" w:eastAsia="黑体"/>
          <w:sz w:val="24"/>
          <w:szCs w:val="24"/>
        </w:rPr>
      </w:pPr>
      <w:bookmarkStart w:id="45" w:name="_Toc26118"/>
      <w:r>
        <w:rPr>
          <w:rFonts w:hint="eastAsia" w:ascii="黑体" w:hAnsi="黑体" w:eastAsia="黑体"/>
          <w:sz w:val="24"/>
          <w:szCs w:val="24"/>
        </w:rPr>
        <w:t>2.合同金额</w:t>
      </w:r>
      <w:bookmarkEnd w:id="45"/>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（1）合同金额小写：</w:t>
      </w:r>
    </w:p>
    <w:p>
      <w:pPr>
        <w:adjustRightInd w:val="0"/>
        <w:snapToGrid w:val="0"/>
        <w:spacing w:beforeLines="50" w:line="360" w:lineRule="auto"/>
        <w:ind w:firstLine="1260" w:firstLineChars="600"/>
        <w:rPr>
          <w:rFonts w:ascii="宋体" w:hAnsi="宋体"/>
          <w:b/>
          <w:color w:val="000000"/>
          <w:szCs w:val="21"/>
        </w:rPr>
      </w:pPr>
      <w:r>
        <w:rPr>
          <w:rFonts w:hint="eastAsia" w:ascii="宋体" w:hAnsi="宋体"/>
          <w:color w:val="000000"/>
          <w:szCs w:val="21"/>
        </w:rPr>
        <w:t>大写：</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（2）具体标的见附件。</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（3）合同价格形式： 。</w:t>
      </w:r>
    </w:p>
    <w:p>
      <w:pPr>
        <w:pStyle w:val="7"/>
        <w:adjustRightInd w:val="0"/>
        <w:snapToGrid w:val="0"/>
        <w:spacing w:before="50" w:after="0" w:line="360" w:lineRule="auto"/>
        <w:rPr>
          <w:rFonts w:ascii="黑体" w:hAnsi="黑体" w:eastAsia="黑体"/>
          <w:sz w:val="24"/>
          <w:szCs w:val="24"/>
          <w:u w:val="single"/>
        </w:rPr>
      </w:pPr>
      <w:bookmarkStart w:id="46" w:name="_Toc3739"/>
      <w:r>
        <w:rPr>
          <w:rFonts w:hint="eastAsia" w:ascii="黑体" w:hAnsi="黑体" w:eastAsia="黑体"/>
          <w:sz w:val="24"/>
          <w:szCs w:val="24"/>
        </w:rPr>
        <w:t>3.履行合同的时间、地点及方式</w:t>
      </w:r>
      <w:bookmarkEnd w:id="46"/>
    </w:p>
    <w:p>
      <w:pPr>
        <w:adjustRightInd w:val="0"/>
        <w:snapToGrid w:val="0"/>
        <w:spacing w:beforeLines="50" w:line="360" w:lineRule="auto"/>
        <w:ind w:firstLine="630" w:firstLineChars="300"/>
        <w:rPr>
          <w:rFonts w:ascii="宋体" w:hAnsi="宋体"/>
          <w:color w:val="000000"/>
          <w:szCs w:val="21"/>
        </w:rPr>
      </w:pPr>
      <w:r>
        <w:rPr>
          <w:rFonts w:hint="eastAsia" w:ascii="宋体" w:hAnsi="宋体"/>
          <w:color w:val="000000"/>
          <w:szCs w:val="21"/>
        </w:rPr>
        <w:t>起始日期：年月日，完成日期：年月日。总日历天数：天。</w:t>
      </w:r>
    </w:p>
    <w:p>
      <w:pPr>
        <w:adjustRightInd w:val="0"/>
        <w:snapToGrid w:val="0"/>
        <w:spacing w:beforeLines="50" w:line="360" w:lineRule="auto"/>
        <w:ind w:firstLine="630" w:firstLineChars="300"/>
        <w:rPr>
          <w:rFonts w:ascii="宋体" w:hAnsi="宋体"/>
          <w:color w:val="000000"/>
          <w:szCs w:val="21"/>
          <w:u w:val="single"/>
        </w:rPr>
      </w:pPr>
      <w:r>
        <w:rPr>
          <w:rFonts w:hint="eastAsia" w:ascii="宋体" w:hAnsi="宋体"/>
          <w:color w:val="000000"/>
          <w:szCs w:val="21"/>
        </w:rPr>
        <w:t>地点</w:t>
      </w:r>
      <w:r>
        <w:rPr>
          <w:rFonts w:hint="eastAsia" w:ascii="宋体" w:hAnsi="宋体"/>
          <w:b/>
          <w:color w:val="000000"/>
          <w:szCs w:val="21"/>
        </w:rPr>
        <w:t>：</w:t>
      </w:r>
    </w:p>
    <w:p>
      <w:pPr>
        <w:adjustRightInd w:val="0"/>
        <w:snapToGrid w:val="0"/>
        <w:spacing w:beforeLines="50" w:line="360" w:lineRule="auto"/>
        <w:ind w:firstLine="630" w:firstLineChars="300"/>
        <w:rPr>
          <w:rFonts w:ascii="宋体" w:hAnsi="宋体"/>
          <w:color w:val="000000"/>
          <w:szCs w:val="21"/>
        </w:rPr>
      </w:pPr>
      <w:r>
        <w:rPr>
          <w:rFonts w:hint="eastAsia" w:ascii="宋体" w:hAnsi="宋体"/>
          <w:color w:val="000000"/>
          <w:szCs w:val="21"/>
        </w:rPr>
        <w:t>方式：</w:t>
      </w:r>
    </w:p>
    <w:p>
      <w:pPr>
        <w:pStyle w:val="7"/>
        <w:adjustRightInd w:val="0"/>
        <w:snapToGrid w:val="0"/>
        <w:spacing w:before="50" w:after="0" w:line="360" w:lineRule="auto"/>
        <w:rPr>
          <w:rFonts w:ascii="黑体" w:hAnsi="黑体" w:eastAsia="黑体"/>
          <w:sz w:val="24"/>
          <w:szCs w:val="24"/>
        </w:rPr>
      </w:pPr>
      <w:bookmarkStart w:id="47" w:name="_Toc12740"/>
      <w:r>
        <w:rPr>
          <w:rFonts w:hint="eastAsia" w:ascii="黑体" w:hAnsi="黑体" w:eastAsia="黑体"/>
          <w:sz w:val="24"/>
          <w:szCs w:val="24"/>
        </w:rPr>
        <w:t>4.付款</w:t>
      </w:r>
      <w:bookmarkEnd w:id="47"/>
    </w:p>
    <w:p>
      <w:pPr>
        <w:adjustRightInd w:val="0"/>
        <w:snapToGrid w:val="0"/>
        <w:spacing w:beforeLines="50" w:line="360" w:lineRule="auto"/>
        <w:ind w:firstLine="630" w:firstLineChars="300"/>
        <w:rPr>
          <w:rFonts w:ascii="宋体" w:hAnsi="宋体"/>
          <w:color w:val="000000"/>
          <w:szCs w:val="21"/>
        </w:rPr>
      </w:pPr>
      <w:r>
        <w:rPr>
          <w:rFonts w:hint="eastAsia" w:ascii="宋体" w:hAnsi="宋体"/>
          <w:bCs/>
          <w:color w:val="000000"/>
          <w:szCs w:val="21"/>
        </w:rPr>
        <w:t>1、预付款根据采购文件的约定，在合同签订前提交不超过合同金额10%的履约担保。</w:t>
      </w:r>
    </w:p>
    <w:p>
      <w:pPr>
        <w:pStyle w:val="7"/>
        <w:adjustRightInd w:val="0"/>
        <w:snapToGrid w:val="0"/>
        <w:spacing w:before="50" w:after="0" w:line="360" w:lineRule="auto"/>
        <w:rPr>
          <w:rFonts w:ascii="黑体" w:hAnsi="黑体" w:eastAsia="黑体"/>
          <w:sz w:val="24"/>
          <w:szCs w:val="24"/>
        </w:rPr>
      </w:pPr>
      <w:bookmarkStart w:id="48" w:name="_Toc6525"/>
      <w:r>
        <w:rPr>
          <w:rFonts w:hint="eastAsia" w:ascii="黑体" w:hAnsi="黑体" w:eastAsia="黑体"/>
          <w:sz w:val="24"/>
          <w:szCs w:val="24"/>
        </w:rPr>
        <w:t>5.解决合同纠纷方式</w:t>
      </w:r>
      <w:bookmarkEnd w:id="48"/>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首先通过双方协商解决，协商解决不成，则通过以下途径之一解决纠纷：</w:t>
      </w:r>
    </w:p>
    <w:p>
      <w:pPr>
        <w:adjustRightInd w:val="0"/>
        <w:snapToGrid w:val="0"/>
        <w:spacing w:beforeLines="50" w:line="360" w:lineRule="auto"/>
        <w:ind w:firstLine="840" w:firstLineChars="400"/>
        <w:rPr>
          <w:rFonts w:ascii="宋体" w:hAnsi="宋体"/>
          <w:color w:val="000000"/>
          <w:szCs w:val="21"/>
        </w:rPr>
      </w:pPr>
      <w:r>
        <w:rPr>
          <w:rFonts w:hint="eastAsia" w:ascii="宋体" w:hAnsi="宋体"/>
          <w:color w:val="000000"/>
          <w:szCs w:val="21"/>
        </w:rPr>
        <w:t>□ 提请仲裁       □ 向人民法院提起诉讼</w:t>
      </w:r>
    </w:p>
    <w:p>
      <w:pPr>
        <w:pStyle w:val="7"/>
        <w:adjustRightInd w:val="0"/>
        <w:snapToGrid w:val="0"/>
        <w:spacing w:before="50" w:after="0" w:line="360" w:lineRule="auto"/>
        <w:rPr>
          <w:rFonts w:ascii="黑体" w:hAnsi="黑体" w:eastAsia="黑体"/>
          <w:sz w:val="24"/>
          <w:szCs w:val="24"/>
        </w:rPr>
      </w:pPr>
      <w:bookmarkStart w:id="49" w:name="_Toc14054"/>
      <w:r>
        <w:rPr>
          <w:rFonts w:hint="eastAsia" w:ascii="黑体" w:hAnsi="黑体" w:eastAsia="黑体"/>
          <w:sz w:val="24"/>
          <w:szCs w:val="24"/>
        </w:rPr>
        <w:t>6.组成合同的文件</w:t>
      </w:r>
      <w:bookmarkEnd w:id="49"/>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本协议书与下列文件一起构成合同文件，如下述文件之间有任何抵触、矛盾或歧义，应按以下顺序解释：</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（1）在采购或合同履行过程中乙方作出的承诺以及双方协商达成的变更或补充协议</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（2）本合同协议书</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（3）成交通知书</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（4）响应文件</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（5）政府采购合同</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（6）谈判文件</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（7）标准、规范及有关技术文件，图纸。</w:t>
      </w:r>
    </w:p>
    <w:p>
      <w:pPr>
        <w:pStyle w:val="20"/>
        <w:adjustRightInd w:val="0"/>
        <w:snapToGrid w:val="0"/>
        <w:spacing w:beforeLines="50" w:after="0" w:line="360" w:lineRule="auto"/>
        <w:rPr>
          <w:rFonts w:ascii="宋体" w:hAnsi="宋体"/>
          <w:color w:val="000000"/>
          <w:szCs w:val="21"/>
        </w:rPr>
      </w:pPr>
      <w:r>
        <w:rPr>
          <w:rFonts w:hint="eastAsia" w:ascii="宋体" w:hAnsi="宋体"/>
          <w:color w:val="000000"/>
          <w:szCs w:val="21"/>
        </w:rPr>
        <w:t>（8）其他合同文件。</w:t>
      </w:r>
    </w:p>
    <w:p>
      <w:pPr>
        <w:pStyle w:val="7"/>
        <w:adjustRightInd w:val="0"/>
        <w:snapToGrid w:val="0"/>
        <w:spacing w:before="50" w:after="0" w:line="360" w:lineRule="auto"/>
        <w:rPr>
          <w:rFonts w:ascii="黑体" w:hAnsi="黑体" w:eastAsia="黑体"/>
          <w:sz w:val="24"/>
          <w:szCs w:val="24"/>
        </w:rPr>
      </w:pPr>
      <w:bookmarkStart w:id="50" w:name="_Toc18528"/>
      <w:r>
        <w:rPr>
          <w:rFonts w:hint="eastAsia" w:ascii="黑体" w:hAnsi="黑体" w:eastAsia="黑体"/>
          <w:sz w:val="24"/>
          <w:szCs w:val="24"/>
        </w:rPr>
        <w:t>7.合同生效</w:t>
      </w:r>
      <w:bookmarkEnd w:id="50"/>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本合同自生效。</w:t>
      </w:r>
    </w:p>
    <w:p>
      <w:pPr>
        <w:pStyle w:val="7"/>
        <w:adjustRightInd w:val="0"/>
        <w:snapToGrid w:val="0"/>
        <w:spacing w:before="50" w:after="0" w:line="360" w:lineRule="auto"/>
        <w:rPr>
          <w:rFonts w:ascii="黑体" w:hAnsi="黑体" w:eastAsia="黑体"/>
          <w:sz w:val="24"/>
          <w:szCs w:val="24"/>
        </w:rPr>
      </w:pPr>
      <w:bookmarkStart w:id="51" w:name="_Toc24704"/>
      <w:r>
        <w:rPr>
          <w:rFonts w:hint="eastAsia" w:ascii="黑体" w:hAnsi="黑体" w:eastAsia="黑体"/>
          <w:sz w:val="24"/>
          <w:szCs w:val="24"/>
        </w:rPr>
        <w:t>8.合同份数</w:t>
      </w:r>
      <w:bookmarkEnd w:id="51"/>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本合同一式份，采购人执份，供应商执份，均具有同等法律效力。</w:t>
      </w:r>
    </w:p>
    <w:p>
      <w:pPr>
        <w:adjustRightInd w:val="0"/>
        <w:snapToGrid w:val="0"/>
        <w:spacing w:beforeLines="50" w:line="360" w:lineRule="auto"/>
        <w:rPr>
          <w:rFonts w:ascii="宋体" w:hAnsi="宋体"/>
          <w:color w:val="000000"/>
          <w:szCs w:val="21"/>
        </w:rPr>
      </w:pPr>
    </w:p>
    <w:p>
      <w:pPr>
        <w:adjustRightInd w:val="0"/>
        <w:snapToGrid w:val="0"/>
        <w:spacing w:beforeLines="50" w:line="360" w:lineRule="auto"/>
        <w:rPr>
          <w:rFonts w:ascii="宋体" w:hAnsi="宋体"/>
          <w:color w:val="000000"/>
          <w:szCs w:val="21"/>
        </w:rPr>
      </w:pPr>
      <w:r>
        <w:rPr>
          <w:rFonts w:hint="eastAsia" w:ascii="宋体" w:hAnsi="宋体"/>
          <w:color w:val="000000"/>
          <w:szCs w:val="21"/>
        </w:rPr>
        <w:t>合同订立时间：年月日</w:t>
      </w:r>
    </w:p>
    <w:p>
      <w:pPr>
        <w:adjustRightInd w:val="0"/>
        <w:snapToGrid w:val="0"/>
        <w:spacing w:beforeLines="50" w:line="360" w:lineRule="auto"/>
        <w:rPr>
          <w:rFonts w:ascii="宋体" w:hAnsi="宋体"/>
          <w:color w:val="000000"/>
          <w:szCs w:val="21"/>
        </w:rPr>
      </w:pPr>
      <w:r>
        <w:rPr>
          <w:rFonts w:hint="eastAsia" w:ascii="宋体" w:hAnsi="宋体"/>
          <w:color w:val="000000"/>
          <w:szCs w:val="21"/>
        </w:rPr>
        <w:t>合同订立地点：</w:t>
      </w:r>
    </w:p>
    <w:p>
      <w:pPr>
        <w:adjustRightInd w:val="0"/>
        <w:snapToGrid w:val="0"/>
        <w:spacing w:beforeLines="50" w:line="360" w:lineRule="auto"/>
        <w:ind w:firstLine="420" w:firstLineChars="200"/>
        <w:rPr>
          <w:rFonts w:ascii="宋体" w:hAnsi="宋体"/>
          <w:color w:val="000000"/>
          <w:szCs w:val="21"/>
        </w:rPr>
      </w:pPr>
    </w:p>
    <w:p>
      <w:pPr>
        <w:adjustRightInd w:val="0"/>
        <w:snapToGrid w:val="0"/>
        <w:spacing w:beforeLines="50" w:line="360" w:lineRule="auto"/>
        <w:rPr>
          <w:rFonts w:ascii="宋体" w:hAnsi="宋体"/>
          <w:color w:val="000000"/>
          <w:szCs w:val="21"/>
        </w:rPr>
      </w:pPr>
      <w:r>
        <w:rPr>
          <w:rFonts w:hint="eastAsia" w:ascii="宋体" w:hAnsi="宋体"/>
          <w:color w:val="000000"/>
          <w:szCs w:val="21"/>
        </w:rPr>
        <w:t>甲      方：（公章）                     乙      方：（公章）</w:t>
      </w:r>
    </w:p>
    <w:p>
      <w:pPr>
        <w:adjustRightInd w:val="0"/>
        <w:snapToGrid w:val="0"/>
        <w:spacing w:beforeLines="50" w:line="360" w:lineRule="auto"/>
        <w:rPr>
          <w:rFonts w:ascii="宋体" w:hAnsi="宋体"/>
          <w:color w:val="000000"/>
          <w:szCs w:val="21"/>
        </w:rPr>
      </w:pPr>
      <w:r>
        <w:rPr>
          <w:rFonts w:hint="eastAsia" w:ascii="宋体" w:hAnsi="宋体"/>
          <w:color w:val="000000"/>
          <w:szCs w:val="21"/>
        </w:rPr>
        <w:t>法定代表人：         法定代表人：</w:t>
      </w:r>
    </w:p>
    <w:p>
      <w:pPr>
        <w:adjustRightInd w:val="0"/>
        <w:snapToGrid w:val="0"/>
        <w:spacing w:beforeLines="50" w:line="360" w:lineRule="auto"/>
        <w:rPr>
          <w:rFonts w:ascii="宋体" w:hAnsi="宋体"/>
          <w:color w:val="000000"/>
          <w:szCs w:val="21"/>
        </w:rPr>
      </w:pPr>
      <w:r>
        <w:rPr>
          <w:rFonts w:hint="eastAsia" w:ascii="宋体" w:hAnsi="宋体"/>
          <w:color w:val="000000"/>
          <w:szCs w:val="21"/>
        </w:rPr>
        <w:t>委托代理人：         委托代理人：</w:t>
      </w:r>
    </w:p>
    <w:p>
      <w:pPr>
        <w:adjustRightInd w:val="0"/>
        <w:snapToGrid w:val="0"/>
        <w:spacing w:beforeLines="50" w:line="360" w:lineRule="auto"/>
        <w:rPr>
          <w:rFonts w:ascii="宋体" w:hAnsi="宋体"/>
          <w:color w:val="000000"/>
          <w:szCs w:val="21"/>
        </w:rPr>
      </w:pPr>
      <w:r>
        <w:rPr>
          <w:rFonts w:hint="eastAsia" w:ascii="宋体" w:hAnsi="宋体"/>
          <w:color w:val="000000"/>
          <w:szCs w:val="21"/>
        </w:rPr>
        <w:t>电      话：         电      话：</w:t>
      </w:r>
    </w:p>
    <w:p>
      <w:pPr>
        <w:adjustRightInd w:val="0"/>
        <w:snapToGrid w:val="0"/>
        <w:spacing w:beforeLines="50" w:line="360" w:lineRule="auto"/>
        <w:rPr>
          <w:rFonts w:ascii="宋体" w:hAnsi="宋体"/>
          <w:color w:val="000000"/>
          <w:szCs w:val="21"/>
        </w:rPr>
      </w:pPr>
      <w:r>
        <w:rPr>
          <w:rFonts w:hint="eastAsia" w:ascii="宋体" w:hAnsi="宋体"/>
          <w:color w:val="000000"/>
          <w:szCs w:val="21"/>
        </w:rPr>
        <w:t>传      真：         传      真：</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 xml:space="preserve">                                    开 户 银 行：</w:t>
      </w:r>
    </w:p>
    <w:p>
      <w:pPr>
        <w:adjustRightInd w:val="0"/>
        <w:snapToGrid w:val="0"/>
        <w:spacing w:beforeLines="50" w:line="360" w:lineRule="auto"/>
        <w:jc w:val="center"/>
        <w:rPr>
          <w:rFonts w:ascii="宋体" w:hAnsi="宋体"/>
          <w:b/>
          <w:color w:val="000000"/>
          <w:szCs w:val="21"/>
        </w:rPr>
      </w:pPr>
      <w:r>
        <w:rPr>
          <w:rFonts w:hint="eastAsia" w:ascii="宋体" w:hAnsi="宋体"/>
          <w:color w:val="000000"/>
          <w:szCs w:val="21"/>
        </w:rPr>
        <w:t xml:space="preserve">         帐       号：</w:t>
      </w:r>
    </w:p>
    <w:p>
      <w:pPr>
        <w:pStyle w:val="6"/>
        <w:adjustRightInd w:val="0"/>
        <w:snapToGrid w:val="0"/>
        <w:spacing w:beforeLines="50"/>
        <w:jc w:val="center"/>
        <w:rPr>
          <w:rFonts w:ascii="黑体" w:hAnsi="黑体" w:eastAsia="黑体"/>
          <w:sz w:val="28"/>
          <w:szCs w:val="28"/>
        </w:rPr>
      </w:pPr>
      <w:r>
        <w:rPr>
          <w:rFonts w:ascii="宋体" w:hAnsi="宋体"/>
          <w:color w:val="000000"/>
          <w:sz w:val="21"/>
          <w:szCs w:val="21"/>
          <w:u w:val="single"/>
        </w:rPr>
        <w:br w:type="page"/>
      </w:r>
      <w:bookmarkStart w:id="52" w:name="_Toc22201111"/>
      <w:bookmarkStart w:id="53" w:name="_Toc5619"/>
      <w:r>
        <w:rPr>
          <w:rFonts w:hint="eastAsia" w:ascii="黑体" w:hAnsi="黑体" w:eastAsia="黑体"/>
          <w:sz w:val="28"/>
          <w:szCs w:val="28"/>
        </w:rPr>
        <w:t>第二节 政府采购合同</w:t>
      </w:r>
      <w:bookmarkEnd w:id="52"/>
      <w:bookmarkEnd w:id="53"/>
    </w:p>
    <w:p>
      <w:pPr>
        <w:spacing w:before="156" w:line="360" w:lineRule="auto"/>
        <w:ind w:right="384"/>
        <w:jc w:val="center"/>
        <w:rPr>
          <w:color w:val="000000"/>
        </w:rPr>
      </w:pPr>
      <w:bookmarkStart w:id="54" w:name="_Toc22201136"/>
      <w:r>
        <w:rPr>
          <w:rFonts w:ascii="黑体" w:hAnsi="黑体" w:eastAsia="黑体" w:cs="黑体"/>
          <w:b/>
          <w:bCs/>
          <w:color w:val="000000"/>
          <w:sz w:val="36"/>
          <w:szCs w:val="36"/>
        </w:rPr>
        <w:t>政府采购合同通用条款（货物类）</w:t>
      </w:r>
    </w:p>
    <w:p>
      <w:pPr>
        <w:spacing w:after="120"/>
        <w:ind w:left="105"/>
        <w:rPr>
          <w:color w:val="000000"/>
        </w:rPr>
      </w:pPr>
      <w:r>
        <w:rPr>
          <w:color w:val="000000"/>
          <w:sz w:val="20"/>
          <w:szCs w:val="20"/>
        </w:rPr>
        <w:t xml:space="preserve">  </w:t>
      </w:r>
    </w:p>
    <w:p>
      <w:pPr>
        <w:spacing w:line="360" w:lineRule="auto"/>
        <w:ind w:right="384"/>
        <w:rPr>
          <w:color w:val="000000"/>
        </w:rPr>
      </w:pPr>
      <w:r>
        <w:rPr>
          <w:rFonts w:ascii="宋体" w:hAnsi="宋体" w:cs="宋体"/>
          <w:b/>
          <w:bCs/>
          <w:color w:val="000000"/>
          <w:szCs w:val="21"/>
        </w:rPr>
        <w:t>1.定义</w:t>
      </w:r>
    </w:p>
    <w:p>
      <w:pPr>
        <w:spacing w:line="360" w:lineRule="auto"/>
        <w:ind w:firstLine="420"/>
        <w:rPr>
          <w:color w:val="000000"/>
        </w:rPr>
      </w:pPr>
      <w:r>
        <w:rPr>
          <w:rFonts w:ascii="宋体" w:hAnsi="宋体" w:cs="宋体"/>
          <w:color w:val="000000"/>
          <w:szCs w:val="21"/>
        </w:rPr>
        <w:t>1.1合同当事人</w:t>
      </w:r>
    </w:p>
    <w:p>
      <w:pPr>
        <w:spacing w:line="360" w:lineRule="auto"/>
        <w:ind w:firstLine="420"/>
        <w:rPr>
          <w:color w:val="000000"/>
        </w:rPr>
      </w:pPr>
      <w:r>
        <w:rPr>
          <w:rFonts w:ascii="宋体" w:hAnsi="宋体" w:cs="宋体"/>
          <w:color w:val="000000"/>
          <w:szCs w:val="21"/>
        </w:rPr>
        <w:t>（1）采购人(以下称甲方)是指使用财政性资金，通过政府采购程序向供应商购买货物、服务的国家机关、事业单位、团体组织。</w:t>
      </w:r>
    </w:p>
    <w:p>
      <w:pPr>
        <w:spacing w:line="360" w:lineRule="auto"/>
        <w:ind w:firstLine="420"/>
        <w:rPr>
          <w:color w:val="000000"/>
        </w:rPr>
      </w:pPr>
      <w:r>
        <w:rPr>
          <w:rFonts w:ascii="宋体" w:hAnsi="宋体" w:cs="宋体"/>
          <w:color w:val="000000"/>
          <w:szCs w:val="21"/>
        </w:rPr>
        <w:t>（2）供应商(以下称乙方)是指参加政府采购活动而取得成交资格，并向采购人提供货物、服务的法人、其他组织或者自然人。</w:t>
      </w:r>
    </w:p>
    <w:p>
      <w:pPr>
        <w:spacing w:line="360" w:lineRule="auto"/>
        <w:ind w:firstLine="420"/>
        <w:rPr>
          <w:color w:val="000000"/>
        </w:rPr>
      </w:pPr>
      <w:r>
        <w:rPr>
          <w:rFonts w:ascii="宋体" w:hAnsi="宋体" w:cs="宋体"/>
          <w:color w:val="000000"/>
          <w:szCs w:val="21"/>
        </w:rPr>
        <w:t>1.2本合同下列术语应解释为：</w:t>
      </w:r>
    </w:p>
    <w:p>
      <w:pPr>
        <w:spacing w:line="360" w:lineRule="auto"/>
        <w:ind w:right="-92" w:firstLine="420"/>
        <w:rPr>
          <w:color w:val="000000"/>
        </w:rPr>
      </w:pPr>
      <w:r>
        <w:rPr>
          <w:rFonts w:ascii="宋体" w:hAnsi="宋体" w:cs="宋体"/>
          <w:color w:val="000000"/>
          <w:szCs w:val="21"/>
        </w:rPr>
        <w:t>（1）“合同”系指甲乙双方签署的、政府采购合同协议书中载明的甲乙双方所达成的协议，包括所有的附件、附录和上述文件所提到的构成合同的所有文件。</w:t>
      </w:r>
    </w:p>
    <w:p>
      <w:pPr>
        <w:spacing w:line="360" w:lineRule="auto"/>
        <w:ind w:right="-92" w:firstLine="420"/>
        <w:rPr>
          <w:color w:val="000000"/>
        </w:rPr>
      </w:pPr>
      <w:r>
        <w:rPr>
          <w:rFonts w:ascii="宋体" w:hAnsi="宋体" w:cs="宋体"/>
          <w:color w:val="000000"/>
          <w:szCs w:val="21"/>
        </w:rPr>
        <w:t>（2）“合同价”系指根据本合同规定乙方在正确地完全履行合同义务后甲方应支付给乙方的价款。</w:t>
      </w:r>
    </w:p>
    <w:p>
      <w:pPr>
        <w:pStyle w:val="24"/>
        <w:adjustRightInd w:val="0"/>
        <w:snapToGrid w:val="0"/>
        <w:spacing w:beforeLines="50" w:line="360" w:lineRule="auto"/>
        <w:ind w:firstLine="420" w:firstLineChars="200"/>
        <w:rPr>
          <w:rFonts w:hAnsi="宋体"/>
        </w:rPr>
      </w:pPr>
      <w:r>
        <w:rPr>
          <w:rFonts w:hint="eastAsia" w:hAnsi="宋体"/>
        </w:rPr>
        <w:t>（3）“货物”系指乙方根据本合同规定须向甲方提供的各种形态和种类的物品，包括原材料、设备、产品(包括软件)及相关的其备品备件、工具、手册及其它技术资料和材料。</w:t>
      </w:r>
    </w:p>
    <w:p>
      <w:pPr>
        <w:pStyle w:val="24"/>
        <w:adjustRightInd w:val="0"/>
        <w:snapToGrid w:val="0"/>
        <w:spacing w:beforeLines="50" w:line="360" w:lineRule="auto"/>
        <w:ind w:firstLine="420" w:firstLineChars="200"/>
        <w:rPr>
          <w:rFonts w:hAnsi="宋体"/>
        </w:rPr>
      </w:pPr>
      <w:r>
        <w:rPr>
          <w:rFonts w:hint="eastAsia" w:hAnsi="宋体"/>
        </w:rPr>
        <w:t>（4）“伴随服务”系指根据本合同规定乙方承担与供货有关的辅助服务，如运输、保险以及其它的伴随服务，例如安装、调试、提供技术协助、培训和合同中规定乙方应承担的其它义务。</w:t>
      </w:r>
    </w:p>
    <w:p>
      <w:pPr>
        <w:pStyle w:val="24"/>
        <w:adjustRightInd w:val="0"/>
        <w:snapToGrid w:val="0"/>
        <w:spacing w:beforeLines="50" w:line="360" w:lineRule="auto"/>
        <w:ind w:firstLine="420" w:firstLineChars="200"/>
        <w:rPr>
          <w:rFonts w:hAnsi="宋体"/>
        </w:rPr>
      </w:pPr>
      <w:r>
        <w:rPr>
          <w:rFonts w:hint="eastAsia" w:hAnsi="宋体"/>
        </w:rPr>
        <w:t>（5）“合同条款”系指本合同条款。</w:t>
      </w:r>
    </w:p>
    <w:p>
      <w:pPr>
        <w:pStyle w:val="24"/>
        <w:adjustRightInd w:val="0"/>
        <w:snapToGrid w:val="0"/>
        <w:spacing w:beforeLines="50" w:line="360" w:lineRule="auto"/>
        <w:ind w:firstLine="420" w:firstLineChars="200"/>
        <w:rPr>
          <w:rFonts w:hAnsi="宋体"/>
        </w:rPr>
      </w:pPr>
      <w:r>
        <w:rPr>
          <w:rFonts w:hint="eastAsia" w:hAnsi="宋体"/>
        </w:rPr>
        <w:t>（6）“项目现场”系指本合同项下货物安装、运行的现场，其名称在政府采购合同专用条款指明。</w:t>
      </w:r>
    </w:p>
    <w:p>
      <w:pPr>
        <w:spacing w:line="360" w:lineRule="auto"/>
        <w:rPr>
          <w:color w:val="000000"/>
        </w:rPr>
      </w:pPr>
      <w:r>
        <w:rPr>
          <w:rFonts w:ascii="宋体" w:hAnsi="宋体" w:cs="宋体"/>
          <w:b/>
          <w:bCs/>
          <w:color w:val="000000"/>
          <w:szCs w:val="21"/>
        </w:rPr>
        <w:t>2.合同的适用范围</w:t>
      </w:r>
    </w:p>
    <w:p>
      <w:pPr>
        <w:spacing w:line="360" w:lineRule="auto"/>
        <w:ind w:firstLine="420"/>
        <w:rPr>
          <w:color w:val="000000"/>
        </w:rPr>
      </w:pPr>
      <w:r>
        <w:rPr>
          <w:rFonts w:ascii="宋体" w:hAnsi="宋体" w:cs="宋体"/>
          <w:color w:val="000000"/>
          <w:szCs w:val="21"/>
        </w:rPr>
        <w:t>2.1本合同条款适用于没有被本合同其他部分的条款所取代的范围。</w:t>
      </w:r>
    </w:p>
    <w:p>
      <w:pPr>
        <w:spacing w:line="360" w:lineRule="auto"/>
        <w:ind w:firstLine="420"/>
        <w:rPr>
          <w:color w:val="000000"/>
        </w:rPr>
      </w:pPr>
      <w:r>
        <w:rPr>
          <w:rFonts w:ascii="宋体" w:hAnsi="宋体" w:cs="宋体"/>
          <w:color w:val="000000"/>
          <w:szCs w:val="21"/>
        </w:rPr>
        <w:t>2.2合同内容根据谈判文件、响应文件而确定。</w:t>
      </w:r>
    </w:p>
    <w:p>
      <w:pPr>
        <w:spacing w:line="360" w:lineRule="auto"/>
        <w:rPr>
          <w:color w:val="000000"/>
        </w:rPr>
      </w:pPr>
      <w:r>
        <w:rPr>
          <w:rFonts w:ascii="宋体" w:hAnsi="宋体" w:cs="宋体"/>
          <w:b/>
          <w:bCs/>
          <w:color w:val="000000"/>
          <w:szCs w:val="21"/>
        </w:rPr>
        <w:t>3.合同标的及金额</w:t>
      </w:r>
    </w:p>
    <w:p>
      <w:pPr>
        <w:spacing w:line="360" w:lineRule="auto"/>
        <w:ind w:firstLine="420"/>
        <w:rPr>
          <w:color w:val="000000"/>
        </w:rPr>
      </w:pPr>
      <w:r>
        <w:rPr>
          <w:rFonts w:ascii="宋体" w:hAnsi="宋体" w:cs="宋体"/>
          <w:color w:val="000000"/>
          <w:szCs w:val="21"/>
        </w:rPr>
        <w:t>3.1合同标的及金额应与成交结果一致，具体的货物名称、规格、型号、数量和价格见</w:t>
      </w:r>
      <w:r>
        <w:rPr>
          <w:rFonts w:ascii="宋体" w:hAnsi="宋体" w:cs="宋体"/>
          <w:b/>
          <w:bCs/>
          <w:color w:val="000000"/>
          <w:szCs w:val="21"/>
        </w:rPr>
        <w:t>政府采购合同专用条款</w:t>
      </w:r>
      <w:r>
        <w:rPr>
          <w:rFonts w:ascii="宋体" w:hAnsi="宋体" w:cs="宋体"/>
          <w:color w:val="000000"/>
          <w:szCs w:val="21"/>
        </w:rPr>
        <w:t>。</w:t>
      </w:r>
    </w:p>
    <w:p>
      <w:pPr>
        <w:spacing w:line="360" w:lineRule="auto"/>
        <w:rPr>
          <w:color w:val="000000"/>
        </w:rPr>
      </w:pPr>
      <w:r>
        <w:rPr>
          <w:rFonts w:ascii="宋体" w:hAnsi="宋体" w:cs="宋体"/>
          <w:b/>
          <w:bCs/>
          <w:color w:val="000000"/>
          <w:szCs w:val="21"/>
        </w:rPr>
        <w:t>4.合同价款</w:t>
      </w:r>
    </w:p>
    <w:p>
      <w:pPr>
        <w:spacing w:line="360" w:lineRule="auto"/>
        <w:ind w:firstLine="560"/>
        <w:rPr>
          <w:color w:val="000000"/>
        </w:rPr>
      </w:pPr>
      <w:r>
        <w:rPr>
          <w:rFonts w:ascii="宋体" w:hAnsi="宋体" w:cs="宋体"/>
          <w:color w:val="000000"/>
          <w:szCs w:val="21"/>
        </w:rPr>
        <w:t>4.1具体合同价款见本合同第3.1项。乙方为履行本合同而发生的所有费用均应包含在合同价款中，甲方不再另行支付其它任何费用。</w:t>
      </w:r>
    </w:p>
    <w:p>
      <w:pPr>
        <w:spacing w:line="360" w:lineRule="auto"/>
        <w:rPr>
          <w:color w:val="000000"/>
        </w:rPr>
      </w:pPr>
      <w:r>
        <w:rPr>
          <w:rFonts w:ascii="宋体" w:hAnsi="宋体" w:cs="宋体"/>
          <w:b/>
          <w:bCs/>
          <w:color w:val="000000"/>
          <w:szCs w:val="21"/>
        </w:rPr>
        <w:t>5.履行合同的时间、地点和方式</w:t>
      </w:r>
    </w:p>
    <w:p>
      <w:pPr>
        <w:spacing w:line="360" w:lineRule="auto"/>
        <w:ind w:firstLine="420"/>
        <w:rPr>
          <w:color w:val="000000"/>
        </w:rPr>
      </w:pPr>
      <w:r>
        <w:rPr>
          <w:rFonts w:ascii="宋体" w:hAnsi="宋体" w:cs="宋体"/>
          <w:color w:val="000000"/>
          <w:szCs w:val="21"/>
        </w:rPr>
        <w:t>5.1乙方应当在甲方确定的时间、指定的地点履行合同，具体的交货时间、地点和方式见</w:t>
      </w:r>
      <w:r>
        <w:rPr>
          <w:rFonts w:ascii="宋体" w:hAnsi="宋体" w:cs="宋体"/>
          <w:b/>
          <w:bCs/>
          <w:color w:val="000000"/>
          <w:szCs w:val="21"/>
        </w:rPr>
        <w:t>政府采购合同专用条款</w:t>
      </w:r>
      <w:r>
        <w:rPr>
          <w:rFonts w:ascii="宋体" w:hAnsi="宋体" w:cs="宋体"/>
          <w:color w:val="000000"/>
          <w:szCs w:val="21"/>
        </w:rPr>
        <w:t>。</w:t>
      </w:r>
    </w:p>
    <w:p>
      <w:pPr>
        <w:spacing w:line="360" w:lineRule="auto"/>
        <w:ind w:firstLine="420"/>
        <w:rPr>
          <w:color w:val="000000"/>
        </w:rPr>
      </w:pPr>
      <w:r>
        <w:rPr>
          <w:rFonts w:ascii="宋体" w:hAnsi="宋体" w:cs="宋体"/>
          <w:color w:val="000000"/>
          <w:szCs w:val="21"/>
        </w:rPr>
        <w:t>5.2乙方提供服务的应当在甲方指定的地点完成服务项目。</w:t>
      </w:r>
    </w:p>
    <w:p>
      <w:pPr>
        <w:spacing w:line="360" w:lineRule="auto"/>
        <w:rPr>
          <w:color w:val="000000"/>
        </w:rPr>
      </w:pPr>
      <w:r>
        <w:rPr>
          <w:rFonts w:ascii="宋体" w:hAnsi="宋体" w:cs="宋体"/>
          <w:b/>
          <w:bCs/>
          <w:color w:val="000000"/>
          <w:szCs w:val="21"/>
        </w:rPr>
        <w:t>6.货物的验收</w:t>
      </w:r>
    </w:p>
    <w:p>
      <w:pPr>
        <w:spacing w:line="360" w:lineRule="auto"/>
        <w:ind w:firstLine="420"/>
        <w:rPr>
          <w:color w:val="000000"/>
        </w:rPr>
      </w:pPr>
      <w:r>
        <w:rPr>
          <w:rFonts w:ascii="宋体" w:hAnsi="宋体" w:cs="宋体"/>
          <w:color w:val="000000"/>
          <w:szCs w:val="21"/>
        </w:rPr>
        <w:t>6.1甲方在收到乙方交付的货物后应当及时组织验收。</w:t>
      </w:r>
    </w:p>
    <w:p>
      <w:pPr>
        <w:spacing w:line="360" w:lineRule="auto"/>
        <w:ind w:firstLine="420"/>
        <w:rPr>
          <w:color w:val="000000"/>
        </w:rPr>
      </w:pPr>
      <w:r>
        <w:rPr>
          <w:rFonts w:ascii="宋体" w:hAnsi="宋体" w:cs="宋体"/>
          <w:color w:val="000000"/>
          <w:szCs w:val="21"/>
        </w:rPr>
        <w:t>6.2货物的表面瑕疵，甲方应在验收时当面提出；对质量问题有异议的应在安装调试后十个工作日内提出。</w:t>
      </w:r>
    </w:p>
    <w:p>
      <w:pPr>
        <w:spacing w:line="360" w:lineRule="auto"/>
        <w:ind w:firstLine="420"/>
        <w:rPr>
          <w:color w:val="000000"/>
        </w:rPr>
      </w:pPr>
      <w:r>
        <w:rPr>
          <w:rFonts w:ascii="宋体" w:hAnsi="宋体" w:cs="宋体"/>
          <w:color w:val="000000"/>
          <w:szCs w:val="21"/>
        </w:rPr>
        <w:t>6.3在验收过程中发现数量不足或有质量、技术等问题，乙方应负责按照甲方的要求采取补足、更换或退货等处理措施，并承担由此发生的一切费用和损失。</w:t>
      </w:r>
    </w:p>
    <w:p>
      <w:pPr>
        <w:spacing w:line="360" w:lineRule="auto"/>
        <w:ind w:firstLine="420"/>
        <w:rPr>
          <w:color w:val="000000"/>
        </w:rPr>
      </w:pPr>
      <w:r>
        <w:rPr>
          <w:rFonts w:ascii="宋体" w:hAnsi="宋体" w:cs="宋体"/>
          <w:color w:val="000000"/>
          <w:szCs w:val="21"/>
        </w:rPr>
        <w:t>6.4甲方在乙方按合同规定交货或安装、调试后，无正当理由而拖延接收、验收或拒绝接收、验收的，应承担因此给乙方造成的直接损失。</w:t>
      </w:r>
    </w:p>
    <w:p>
      <w:pPr>
        <w:spacing w:line="360" w:lineRule="auto"/>
        <w:ind w:firstLine="420"/>
        <w:rPr>
          <w:color w:val="000000"/>
        </w:rPr>
      </w:pPr>
      <w:r>
        <w:rPr>
          <w:rFonts w:ascii="宋体" w:hAnsi="宋体" w:cs="宋体"/>
          <w:color w:val="000000"/>
          <w:szCs w:val="21"/>
        </w:rPr>
        <w:t>6.5甲方对货物进行检查验收合格后，应当收取发票并在《交货验收单》上签署验收意见及加盖单位印章。</w:t>
      </w:r>
    </w:p>
    <w:p>
      <w:pPr>
        <w:spacing w:line="360" w:lineRule="auto"/>
        <w:ind w:firstLine="420"/>
        <w:rPr>
          <w:color w:val="000000"/>
        </w:rPr>
      </w:pPr>
      <w:r>
        <w:rPr>
          <w:rFonts w:ascii="宋体" w:hAnsi="宋体" w:cs="宋体"/>
          <w:color w:val="000000"/>
          <w:szCs w:val="21"/>
        </w:rPr>
        <w:t>6.6大型或者复杂的货物采购项目，甲方可以邀请国家认可的质量检测机构参加验收工作，并由其出具验收报告单。</w:t>
      </w:r>
    </w:p>
    <w:p>
      <w:pPr>
        <w:spacing w:line="360" w:lineRule="auto"/>
        <w:ind w:firstLine="420"/>
        <w:rPr>
          <w:color w:val="000000"/>
        </w:rPr>
      </w:pPr>
      <w:r>
        <w:rPr>
          <w:rFonts w:ascii="宋体" w:hAnsi="宋体" w:cs="宋体"/>
          <w:color w:val="000000"/>
          <w:szCs w:val="21"/>
        </w:rPr>
        <w:t>6.7乙方提供的进口产品，乙方应出示中华人民共和国进出口商品检验部门出具的检验证书（采购文件另有约定的除外）。</w:t>
      </w:r>
    </w:p>
    <w:p>
      <w:pPr>
        <w:spacing w:line="360" w:lineRule="auto"/>
        <w:rPr>
          <w:color w:val="000000"/>
        </w:rPr>
      </w:pPr>
      <w:r>
        <w:rPr>
          <w:rFonts w:ascii="宋体" w:hAnsi="宋体" w:cs="宋体"/>
          <w:b/>
          <w:bCs/>
          <w:color w:val="000000"/>
          <w:szCs w:val="21"/>
        </w:rPr>
        <w:t>7.货物包装要求</w:t>
      </w:r>
    </w:p>
    <w:p>
      <w:pPr>
        <w:spacing w:line="360" w:lineRule="auto"/>
        <w:ind w:firstLine="420"/>
        <w:rPr>
          <w:color w:val="000000"/>
        </w:rPr>
      </w:pPr>
      <w:r>
        <w:rPr>
          <w:rFonts w:ascii="宋体" w:hAnsi="宋体" w:cs="宋体"/>
          <w:color w:val="000000"/>
          <w:szCs w:val="21"/>
        </w:rPr>
        <w:t>7.1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spacing w:line="360" w:lineRule="auto"/>
        <w:ind w:firstLine="420"/>
        <w:rPr>
          <w:color w:val="000000"/>
        </w:rPr>
      </w:pPr>
      <w:r>
        <w:rPr>
          <w:rFonts w:ascii="宋体" w:hAnsi="宋体" w:cs="宋体"/>
          <w:color w:val="000000"/>
          <w:szCs w:val="21"/>
        </w:rPr>
        <w:t>7.2每一个包装箱内应附一份详细装箱单、质量证书和保修保养证书。</w:t>
      </w:r>
    </w:p>
    <w:p>
      <w:pPr>
        <w:pStyle w:val="7"/>
        <w:keepNext w:val="0"/>
        <w:spacing w:before="0" w:after="0" w:line="360" w:lineRule="auto"/>
        <w:rPr>
          <w:color w:val="000000"/>
        </w:rPr>
      </w:pPr>
      <w:bookmarkStart w:id="55" w:name="_Toc12522"/>
      <w:r>
        <w:rPr>
          <w:rFonts w:ascii="宋体" w:hAnsi="宋体" w:cs="宋体"/>
          <w:color w:val="000000"/>
          <w:sz w:val="21"/>
          <w:szCs w:val="21"/>
        </w:rPr>
        <w:t>8.运输和保险</w:t>
      </w:r>
      <w:bookmarkEnd w:id="55"/>
    </w:p>
    <w:p>
      <w:pPr>
        <w:spacing w:line="360" w:lineRule="auto"/>
        <w:ind w:firstLine="420"/>
        <w:rPr>
          <w:color w:val="000000"/>
        </w:rPr>
      </w:pPr>
      <w:r>
        <w:rPr>
          <w:rFonts w:ascii="宋体" w:hAnsi="宋体" w:cs="宋体"/>
          <w:color w:val="000000"/>
          <w:szCs w:val="21"/>
        </w:rPr>
        <w:t>8.1乙方负责办理将货物运抵本合同第五条规定的交货地点的一切运输事项，相关费用应包括在合同总价中。</w:t>
      </w:r>
    </w:p>
    <w:p>
      <w:pPr>
        <w:spacing w:line="360" w:lineRule="auto"/>
        <w:ind w:firstLine="420"/>
        <w:rPr>
          <w:color w:val="000000"/>
        </w:rPr>
      </w:pPr>
      <w:r>
        <w:rPr>
          <w:rFonts w:ascii="宋体" w:hAnsi="宋体" w:cs="宋体"/>
          <w:color w:val="000000"/>
          <w:szCs w:val="21"/>
        </w:rPr>
        <w:t>8.2乙方应向保险公司投保以甲方为受益人的发运合同货物发票金额的110％运输一切险。</w:t>
      </w:r>
    </w:p>
    <w:p>
      <w:pPr>
        <w:spacing w:line="360" w:lineRule="auto"/>
        <w:rPr>
          <w:color w:val="000000"/>
        </w:rPr>
      </w:pPr>
      <w:r>
        <w:rPr>
          <w:rFonts w:ascii="宋体" w:hAnsi="宋体" w:cs="宋体"/>
          <w:b/>
          <w:bCs/>
          <w:color w:val="000000"/>
          <w:szCs w:val="21"/>
        </w:rPr>
        <w:t>9.质量标准和保证</w:t>
      </w:r>
    </w:p>
    <w:p>
      <w:pPr>
        <w:spacing w:line="360" w:lineRule="auto"/>
        <w:ind w:firstLine="400"/>
        <w:rPr>
          <w:color w:val="000000"/>
        </w:rPr>
      </w:pPr>
      <w:r>
        <w:rPr>
          <w:rFonts w:ascii="宋体" w:hAnsi="宋体" w:cs="宋体"/>
          <w:color w:val="000000"/>
          <w:sz w:val="20"/>
          <w:szCs w:val="20"/>
        </w:rPr>
        <w:t xml:space="preserve">9.1 质量标准 </w:t>
      </w:r>
    </w:p>
    <w:p>
      <w:pPr>
        <w:spacing w:line="360" w:lineRule="auto"/>
        <w:ind w:firstLine="420"/>
        <w:rPr>
          <w:color w:val="000000"/>
        </w:rPr>
      </w:pPr>
      <w:r>
        <w:rPr>
          <w:rFonts w:ascii="宋体" w:hAnsi="宋体" w:cs="宋体"/>
          <w:color w:val="000000"/>
          <w:szCs w:val="21"/>
        </w:rPr>
        <w:t>（1）本合同下交付的货物应符合第七章采购需求所述的标准。如果没有提及适用标准，则应符合中华人民共和国有关机构发布的最新版本的标准。</w:t>
      </w:r>
    </w:p>
    <w:p>
      <w:pPr>
        <w:spacing w:line="360" w:lineRule="auto"/>
        <w:ind w:firstLine="400"/>
        <w:rPr>
          <w:color w:val="000000"/>
        </w:rPr>
      </w:pPr>
      <w:r>
        <w:rPr>
          <w:rFonts w:ascii="宋体" w:hAnsi="宋体" w:cs="宋体"/>
          <w:color w:val="000000"/>
          <w:sz w:val="20"/>
          <w:szCs w:val="20"/>
        </w:rPr>
        <w:t xml:space="preserve">（2）采用中华人民共和国法定计量单位。 </w:t>
      </w:r>
    </w:p>
    <w:p>
      <w:pPr>
        <w:spacing w:line="360" w:lineRule="auto"/>
        <w:ind w:firstLine="420"/>
        <w:rPr>
          <w:color w:val="000000"/>
        </w:rPr>
      </w:pPr>
      <w:r>
        <w:rPr>
          <w:rFonts w:ascii="宋体" w:hAnsi="宋体" w:cs="宋体"/>
          <w:color w:val="000000"/>
          <w:szCs w:val="21"/>
        </w:rPr>
        <w:t>（3）乙方所出售的货物还应符合国家有关安全、环保、卫生之规定。</w:t>
      </w:r>
    </w:p>
    <w:p>
      <w:pPr>
        <w:spacing w:line="360" w:lineRule="auto"/>
        <w:ind w:firstLine="420"/>
        <w:rPr>
          <w:color w:val="000000"/>
        </w:rPr>
      </w:pPr>
      <w:r>
        <w:rPr>
          <w:rFonts w:ascii="宋体" w:hAnsi="宋体" w:cs="宋体"/>
          <w:color w:val="000000"/>
          <w:szCs w:val="21"/>
        </w:rPr>
        <w:t>9.2保证</w:t>
      </w:r>
    </w:p>
    <w:p>
      <w:pPr>
        <w:spacing w:line="360" w:lineRule="auto"/>
        <w:ind w:firstLine="420"/>
        <w:rPr>
          <w:color w:val="000000"/>
        </w:rPr>
      </w:pPr>
      <w:r>
        <w:rPr>
          <w:rFonts w:ascii="宋体" w:hAnsi="宋体" w:cs="宋体"/>
          <w:color w:val="000000"/>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ascii="宋体" w:hAnsi="宋体" w:cs="宋体"/>
          <w:b/>
          <w:bCs/>
          <w:color w:val="000000"/>
          <w:szCs w:val="21"/>
        </w:rPr>
        <w:t>政府采购合同专用条款</w:t>
      </w:r>
      <w:r>
        <w:rPr>
          <w:rFonts w:ascii="宋体" w:hAnsi="宋体" w:cs="宋体"/>
          <w:color w:val="000000"/>
          <w:szCs w:val="21"/>
        </w:rPr>
        <w:t>规定或乙方承诺（两者以较长的为准）的质量保证期内，本保证保持有效。</w:t>
      </w:r>
    </w:p>
    <w:p>
      <w:pPr>
        <w:spacing w:line="360" w:lineRule="auto"/>
        <w:ind w:firstLine="420"/>
        <w:rPr>
          <w:color w:val="000000"/>
        </w:rPr>
      </w:pPr>
      <w:r>
        <w:rPr>
          <w:rFonts w:ascii="宋体" w:hAnsi="宋体" w:cs="宋体"/>
          <w:color w:val="000000"/>
          <w:szCs w:val="21"/>
        </w:rPr>
        <w:t>（2）在质量保证期内所发现的缺陷，甲方应尽快以书面形式通知乙方。</w:t>
      </w:r>
    </w:p>
    <w:p>
      <w:pPr>
        <w:spacing w:line="360" w:lineRule="auto"/>
        <w:ind w:firstLine="420"/>
        <w:rPr>
          <w:color w:val="000000"/>
        </w:rPr>
      </w:pPr>
      <w:r>
        <w:rPr>
          <w:rFonts w:ascii="宋体" w:hAnsi="宋体" w:cs="宋体"/>
          <w:color w:val="000000"/>
          <w:szCs w:val="21"/>
        </w:rPr>
        <w:t>（3）乙方收到通知后应在</w:t>
      </w:r>
      <w:r>
        <w:rPr>
          <w:rFonts w:ascii="宋体" w:hAnsi="宋体" w:cs="宋体"/>
          <w:b/>
          <w:bCs/>
          <w:color w:val="000000"/>
          <w:szCs w:val="21"/>
        </w:rPr>
        <w:t>政府采购合同专用条款</w:t>
      </w:r>
      <w:r>
        <w:rPr>
          <w:rFonts w:ascii="宋体" w:hAnsi="宋体" w:cs="宋体"/>
          <w:color w:val="000000"/>
          <w:szCs w:val="21"/>
        </w:rPr>
        <w:t>规定的响应时间内以合理的速度免费维修或更换有缺陷的货物或部件。</w:t>
      </w:r>
    </w:p>
    <w:p>
      <w:pPr>
        <w:spacing w:line="360" w:lineRule="auto"/>
        <w:ind w:firstLine="420"/>
        <w:rPr>
          <w:color w:val="000000"/>
        </w:rPr>
      </w:pPr>
      <w:r>
        <w:rPr>
          <w:rFonts w:ascii="宋体" w:hAnsi="宋体" w:cs="宋体"/>
          <w:color w:val="000000"/>
          <w:szCs w:val="21"/>
        </w:rPr>
        <w:t>（4）在质量保证期内，如果货物的质量或规格与合同不符，或证实货物是有缺陷的，包括潜在的缺陷或使用不符合要求的材料等，甲方可以根据本合同第15.1项规定以书面形式向乙方提出补救措施或索赔。</w:t>
      </w:r>
    </w:p>
    <w:p>
      <w:pPr>
        <w:spacing w:line="360" w:lineRule="auto"/>
        <w:ind w:firstLine="420"/>
        <w:rPr>
          <w:color w:val="000000"/>
        </w:rPr>
      </w:pPr>
      <w:r>
        <w:rPr>
          <w:rFonts w:ascii="宋体" w:hAnsi="宋体" w:cs="宋体"/>
          <w:color w:val="000000"/>
          <w:szCs w:val="21"/>
        </w:rPr>
        <w:t>（5）乙方在约定的时间内未能弥补缺陷，甲方可采取必要的补救措施，但其风险和费用将由乙方承担，甲方根据合同规定对乙方行使的其他权利不受影响。</w:t>
      </w:r>
    </w:p>
    <w:p>
      <w:pPr>
        <w:spacing w:line="360" w:lineRule="auto"/>
        <w:rPr>
          <w:color w:val="000000"/>
        </w:rPr>
      </w:pPr>
      <w:r>
        <w:rPr>
          <w:rFonts w:ascii="宋体" w:hAnsi="宋体" w:cs="宋体"/>
          <w:b/>
          <w:bCs/>
          <w:color w:val="000000"/>
          <w:szCs w:val="21"/>
        </w:rPr>
        <w:t>10.权利瑕疵担保</w:t>
      </w:r>
    </w:p>
    <w:p>
      <w:pPr>
        <w:spacing w:line="360" w:lineRule="auto"/>
        <w:ind w:firstLine="420"/>
        <w:rPr>
          <w:color w:val="000000"/>
        </w:rPr>
      </w:pPr>
      <w:r>
        <w:rPr>
          <w:rFonts w:ascii="宋体" w:hAnsi="宋体" w:cs="宋体"/>
          <w:color w:val="000000"/>
          <w:szCs w:val="21"/>
        </w:rPr>
        <w:t>10.1乙方保证对其出售的货物享有合法的权利。</w:t>
      </w:r>
    </w:p>
    <w:p>
      <w:pPr>
        <w:spacing w:line="360" w:lineRule="auto"/>
        <w:ind w:firstLine="420"/>
        <w:rPr>
          <w:color w:val="000000"/>
        </w:rPr>
      </w:pPr>
      <w:r>
        <w:rPr>
          <w:rFonts w:ascii="宋体" w:hAnsi="宋体" w:cs="宋体"/>
          <w:color w:val="000000"/>
          <w:szCs w:val="21"/>
        </w:rPr>
        <w:t>10.2乙方保证在其出售的货物上不存在任何未曾向甲方透露的担保物权，如抵押权、质押权、留置权等。</w:t>
      </w:r>
    </w:p>
    <w:p>
      <w:pPr>
        <w:spacing w:line="360" w:lineRule="auto"/>
        <w:ind w:firstLine="420"/>
        <w:rPr>
          <w:color w:val="000000"/>
        </w:rPr>
      </w:pPr>
      <w:r>
        <w:rPr>
          <w:rFonts w:ascii="宋体" w:hAnsi="宋体" w:cs="宋体"/>
          <w:color w:val="000000"/>
          <w:szCs w:val="21"/>
        </w:rPr>
        <w:t>10.3如甲方使用该货物构成上述侵权的，则由乙方承担全部责任。</w:t>
      </w:r>
    </w:p>
    <w:p>
      <w:pPr>
        <w:spacing w:line="360" w:lineRule="auto"/>
        <w:rPr>
          <w:color w:val="000000"/>
        </w:rPr>
      </w:pPr>
      <w:r>
        <w:rPr>
          <w:rFonts w:ascii="宋体" w:hAnsi="宋体" w:cs="宋体"/>
          <w:b/>
          <w:bCs/>
          <w:color w:val="000000"/>
          <w:szCs w:val="21"/>
        </w:rPr>
        <w:t>11.知识产权保护</w:t>
      </w:r>
    </w:p>
    <w:p>
      <w:pPr>
        <w:spacing w:line="360" w:lineRule="auto"/>
        <w:ind w:firstLine="420"/>
        <w:rPr>
          <w:color w:val="000000"/>
        </w:rPr>
      </w:pPr>
      <w:r>
        <w:rPr>
          <w:rFonts w:ascii="宋体" w:hAnsi="宋体" w:cs="宋体"/>
          <w:color w:val="000000"/>
          <w:szCs w:val="21"/>
        </w:rPr>
        <w:t>11.1乙方对其所销售的货物应当享有知识产权或经权利人合法授权，保证没有侵犯任何第三人的知识产权和商业秘密等权利。</w:t>
      </w:r>
    </w:p>
    <w:p>
      <w:pPr>
        <w:spacing w:line="360" w:lineRule="auto"/>
        <w:ind w:firstLine="420"/>
        <w:rPr>
          <w:color w:val="000000"/>
        </w:rPr>
      </w:pPr>
      <w:r>
        <w:rPr>
          <w:rFonts w:ascii="宋体" w:hAnsi="宋体" w:cs="宋体"/>
          <w:color w:val="000000"/>
          <w:szCs w:val="21"/>
        </w:rPr>
        <w:t>11.2甲方使用乙方提供的货物对第三人构成侵权的，应当由乙方承担全部法律责任，给甲方造成损害的，乙方应当承担赔偿责任。</w:t>
      </w:r>
    </w:p>
    <w:p>
      <w:pPr>
        <w:spacing w:line="360" w:lineRule="auto"/>
        <w:ind w:firstLine="420"/>
        <w:rPr>
          <w:color w:val="000000"/>
        </w:rPr>
      </w:pPr>
      <w:r>
        <w:rPr>
          <w:rFonts w:ascii="宋体" w:hAnsi="宋体" w:cs="宋体"/>
          <w:color w:val="000000"/>
          <w:szCs w:val="21"/>
        </w:rPr>
        <w:t>11.3甲方委托乙方开发的产品，甲方享有知识产权，未经甲方许可不得转让任何第三人。</w:t>
      </w:r>
    </w:p>
    <w:p>
      <w:pPr>
        <w:spacing w:line="360" w:lineRule="auto"/>
        <w:rPr>
          <w:color w:val="000000"/>
        </w:rPr>
      </w:pPr>
      <w:r>
        <w:rPr>
          <w:rFonts w:ascii="宋体" w:hAnsi="宋体" w:cs="宋体"/>
          <w:b/>
          <w:bCs/>
          <w:color w:val="000000"/>
          <w:szCs w:val="21"/>
        </w:rPr>
        <w:t>12.保密义务</w:t>
      </w:r>
    </w:p>
    <w:p>
      <w:pPr>
        <w:spacing w:line="360" w:lineRule="auto"/>
        <w:ind w:firstLine="420"/>
        <w:rPr>
          <w:color w:val="000000"/>
        </w:rPr>
      </w:pPr>
      <w:r>
        <w:rPr>
          <w:rFonts w:ascii="宋体" w:hAnsi="宋体" w:cs="宋体"/>
          <w:color w:val="000000"/>
          <w:szCs w:val="21"/>
        </w:rPr>
        <w:t>12.1甲、乙双方在采购和履行合同过程中所获悉的对方属于保密的内容，甲乙双方均有保密义务。</w:t>
      </w:r>
    </w:p>
    <w:p>
      <w:pPr>
        <w:spacing w:line="360" w:lineRule="auto"/>
        <w:rPr>
          <w:color w:val="000000"/>
        </w:rPr>
      </w:pPr>
      <w:r>
        <w:rPr>
          <w:rFonts w:ascii="宋体" w:hAnsi="宋体" w:cs="宋体"/>
          <w:b/>
          <w:bCs/>
          <w:color w:val="000000"/>
          <w:szCs w:val="21"/>
        </w:rPr>
        <w:t>13.合同价款支付</w:t>
      </w:r>
    </w:p>
    <w:p>
      <w:pPr>
        <w:spacing w:line="360" w:lineRule="auto"/>
        <w:ind w:firstLine="420"/>
        <w:rPr>
          <w:color w:val="000000"/>
        </w:rPr>
      </w:pPr>
      <w:r>
        <w:rPr>
          <w:rFonts w:ascii="宋体" w:hAnsi="宋体" w:cs="宋体"/>
          <w:color w:val="000000"/>
          <w:szCs w:val="21"/>
        </w:rPr>
        <w:t>13.1验收合格后，乙方出具正规发票给甲方，凭甲方开具的《政府采购合同验收报告单》办理合同价款结算手续。</w:t>
      </w:r>
    </w:p>
    <w:p>
      <w:pPr>
        <w:spacing w:line="360" w:lineRule="auto"/>
        <w:ind w:firstLine="420"/>
        <w:rPr>
          <w:color w:val="000000"/>
        </w:rPr>
      </w:pPr>
      <w:r>
        <w:rPr>
          <w:rFonts w:ascii="宋体" w:hAnsi="宋体" w:cs="宋体"/>
          <w:color w:val="000000"/>
          <w:szCs w:val="21"/>
        </w:rPr>
        <w:t>13.2合同价款构成中应当由财政支付的部分，甲方应当在货物验收合格后的十五个工作日内向国库管理部门申请支付，经国库管理部门审核后直接支付给乙方。</w:t>
      </w:r>
    </w:p>
    <w:p>
      <w:pPr>
        <w:spacing w:line="360" w:lineRule="auto"/>
        <w:ind w:firstLine="420"/>
        <w:rPr>
          <w:color w:val="000000"/>
        </w:rPr>
      </w:pPr>
      <w:r>
        <w:rPr>
          <w:rFonts w:ascii="宋体" w:hAnsi="宋体" w:cs="宋体"/>
          <w:color w:val="000000"/>
          <w:szCs w:val="21"/>
        </w:rPr>
        <w:t>13.3合同价款构成中应当由甲方自行支付的部分，甲方应当在货物验收合格后十五个工作内支付。</w:t>
      </w:r>
    </w:p>
    <w:p>
      <w:pPr>
        <w:spacing w:line="360" w:lineRule="auto"/>
        <w:ind w:firstLine="420"/>
        <w:rPr>
          <w:color w:val="000000"/>
        </w:rPr>
      </w:pPr>
      <w:r>
        <w:rPr>
          <w:rFonts w:ascii="宋体" w:hAnsi="宋体" w:cs="宋体"/>
          <w:color w:val="000000"/>
          <w:szCs w:val="21"/>
        </w:rPr>
        <w:t>13.4支付合同价款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spacing w:line="360" w:lineRule="auto"/>
        <w:ind w:firstLine="420"/>
        <w:rPr>
          <w:color w:val="000000"/>
        </w:rPr>
      </w:pPr>
      <w:r>
        <w:rPr>
          <w:rFonts w:ascii="宋体" w:hAnsi="宋体" w:cs="宋体"/>
          <w:color w:val="000000"/>
          <w:szCs w:val="21"/>
        </w:rPr>
        <w:t>13.5合同价款支付方式和条件在</w:t>
      </w:r>
      <w:r>
        <w:rPr>
          <w:rFonts w:ascii="宋体" w:hAnsi="宋体" w:cs="宋体"/>
          <w:b/>
          <w:bCs/>
          <w:color w:val="000000"/>
          <w:szCs w:val="21"/>
        </w:rPr>
        <w:t>政府采购合同专用条款</w:t>
      </w:r>
      <w:r>
        <w:rPr>
          <w:rFonts w:ascii="宋体" w:hAnsi="宋体" w:cs="宋体"/>
          <w:color w:val="000000"/>
          <w:szCs w:val="21"/>
        </w:rPr>
        <w:t>中另有规定。</w:t>
      </w:r>
    </w:p>
    <w:p>
      <w:pPr>
        <w:spacing w:line="360" w:lineRule="auto"/>
        <w:rPr>
          <w:color w:val="000000"/>
        </w:rPr>
      </w:pPr>
      <w:r>
        <w:rPr>
          <w:rFonts w:ascii="宋体" w:hAnsi="宋体" w:cs="宋体"/>
          <w:b/>
          <w:bCs/>
          <w:color w:val="000000"/>
          <w:szCs w:val="21"/>
        </w:rPr>
        <w:t>14.伴随服务</w:t>
      </w:r>
    </w:p>
    <w:p>
      <w:pPr>
        <w:spacing w:line="360" w:lineRule="auto"/>
        <w:ind w:firstLine="420"/>
        <w:rPr>
          <w:color w:val="000000"/>
        </w:rPr>
      </w:pPr>
      <w:r>
        <w:rPr>
          <w:rFonts w:ascii="宋体" w:hAnsi="宋体" w:cs="宋体"/>
          <w:color w:val="000000"/>
          <w:szCs w:val="21"/>
        </w:rPr>
        <w:t>14.1乙方应向甲方提交所提供货物的技术文件，包括相应的中文技术文件，如：产品目录、图纸、操作手册、使用说明、维护手册或服务指南。这些文件应包装好随同货物一起发运。</w:t>
      </w:r>
    </w:p>
    <w:p>
      <w:pPr>
        <w:spacing w:line="360" w:lineRule="auto"/>
        <w:ind w:firstLine="420"/>
        <w:rPr>
          <w:color w:val="000000"/>
        </w:rPr>
      </w:pPr>
      <w:r>
        <w:rPr>
          <w:rFonts w:ascii="宋体" w:hAnsi="宋体" w:cs="宋体"/>
          <w:color w:val="000000"/>
          <w:szCs w:val="21"/>
        </w:rPr>
        <w:t>14.2乙方还应提供下列服务：</w:t>
      </w:r>
    </w:p>
    <w:p>
      <w:pPr>
        <w:spacing w:line="360" w:lineRule="auto"/>
        <w:ind w:firstLine="420"/>
        <w:rPr>
          <w:color w:val="000000"/>
        </w:rPr>
      </w:pPr>
      <w:r>
        <w:rPr>
          <w:rFonts w:ascii="宋体" w:hAnsi="宋体" w:cs="宋体"/>
          <w:color w:val="000000"/>
          <w:szCs w:val="21"/>
        </w:rPr>
        <w:t>（1）货物的现场移动、安装、调试、启动监督及技术支持；</w:t>
      </w:r>
    </w:p>
    <w:p>
      <w:pPr>
        <w:spacing w:line="360" w:lineRule="auto"/>
        <w:ind w:firstLine="420"/>
        <w:rPr>
          <w:color w:val="000000"/>
        </w:rPr>
      </w:pPr>
      <w:r>
        <w:rPr>
          <w:rFonts w:ascii="宋体" w:hAnsi="宋体" w:cs="宋体"/>
          <w:color w:val="000000"/>
          <w:szCs w:val="21"/>
        </w:rPr>
        <w:t>（2）提供货物组装和维修所需的专用工具和辅助材料；</w:t>
      </w:r>
    </w:p>
    <w:p>
      <w:pPr>
        <w:spacing w:line="360" w:lineRule="auto"/>
        <w:ind w:firstLine="420"/>
        <w:rPr>
          <w:color w:val="000000"/>
        </w:rPr>
      </w:pPr>
      <w:r>
        <w:rPr>
          <w:rFonts w:ascii="宋体" w:hAnsi="宋体" w:cs="宋体"/>
          <w:color w:val="000000"/>
          <w:szCs w:val="21"/>
        </w:rPr>
        <w:t>（3）在合同各方商定的一定期限内对所有的货物实施运行监督、维修，但前提条件是该服务并不能免除乙方在质量保证期内所承担的义务；</w:t>
      </w:r>
    </w:p>
    <w:p>
      <w:pPr>
        <w:spacing w:line="360" w:lineRule="auto"/>
        <w:ind w:firstLine="420"/>
        <w:rPr>
          <w:color w:val="000000"/>
        </w:rPr>
      </w:pPr>
      <w:r>
        <w:rPr>
          <w:rFonts w:ascii="宋体" w:hAnsi="宋体" w:cs="宋体"/>
          <w:color w:val="000000"/>
          <w:szCs w:val="21"/>
        </w:rPr>
        <w:t>（4）在制造商或项目现场就货物的安装、启动、运营、维护对甲方操作人员进行培训。</w:t>
      </w:r>
    </w:p>
    <w:p>
      <w:pPr>
        <w:spacing w:line="360" w:lineRule="auto"/>
        <w:ind w:firstLine="420"/>
        <w:rPr>
          <w:color w:val="000000"/>
        </w:rPr>
      </w:pPr>
      <w:r>
        <w:rPr>
          <w:rFonts w:ascii="宋体" w:hAnsi="宋体" w:cs="宋体"/>
          <w:color w:val="000000"/>
          <w:szCs w:val="21"/>
        </w:rPr>
        <w:t>（5）</w:t>
      </w:r>
      <w:r>
        <w:rPr>
          <w:rFonts w:ascii="宋体" w:hAnsi="宋体" w:cs="宋体"/>
          <w:b/>
          <w:bCs/>
          <w:color w:val="000000"/>
          <w:szCs w:val="21"/>
        </w:rPr>
        <w:t>政府采购合同专用条款</w:t>
      </w:r>
      <w:r>
        <w:rPr>
          <w:rFonts w:ascii="宋体" w:hAnsi="宋体" w:cs="宋体"/>
          <w:color w:val="000000"/>
          <w:szCs w:val="21"/>
        </w:rPr>
        <w:t>与第四章采购需求规定的其他伴随服务</w:t>
      </w:r>
    </w:p>
    <w:p>
      <w:pPr>
        <w:spacing w:line="360" w:lineRule="auto"/>
        <w:ind w:firstLine="420"/>
        <w:rPr>
          <w:color w:val="000000"/>
        </w:rPr>
      </w:pPr>
      <w:r>
        <w:rPr>
          <w:rFonts w:ascii="宋体" w:hAnsi="宋体" w:cs="宋体"/>
          <w:color w:val="000000"/>
          <w:szCs w:val="21"/>
        </w:rPr>
        <w:t>14.3乙方提供的伴随服务的费用应包含在合同价款中，甲方不再另行支付。</w:t>
      </w:r>
    </w:p>
    <w:p>
      <w:pPr>
        <w:spacing w:line="360" w:lineRule="auto"/>
        <w:rPr>
          <w:color w:val="000000"/>
        </w:rPr>
      </w:pPr>
      <w:r>
        <w:rPr>
          <w:rFonts w:ascii="宋体" w:hAnsi="宋体" w:cs="宋体"/>
          <w:b/>
          <w:bCs/>
          <w:color w:val="000000"/>
          <w:szCs w:val="21"/>
        </w:rPr>
        <w:t>15.违约责任</w:t>
      </w:r>
    </w:p>
    <w:p>
      <w:pPr>
        <w:spacing w:line="360" w:lineRule="auto"/>
        <w:ind w:firstLine="315"/>
        <w:rPr>
          <w:color w:val="000000"/>
        </w:rPr>
      </w:pPr>
      <w:r>
        <w:rPr>
          <w:rFonts w:ascii="宋体" w:hAnsi="宋体" w:cs="宋体"/>
          <w:color w:val="000000"/>
          <w:szCs w:val="21"/>
        </w:rPr>
        <w:t>15.1质量瑕疵的补救措施和索赔</w:t>
      </w:r>
    </w:p>
    <w:p>
      <w:pPr>
        <w:spacing w:line="360" w:lineRule="auto"/>
        <w:ind w:firstLine="420"/>
        <w:rPr>
          <w:color w:val="000000"/>
        </w:rPr>
      </w:pPr>
      <w:r>
        <w:rPr>
          <w:rFonts w:ascii="宋体" w:hAnsi="宋体" w:cs="宋体"/>
          <w:color w:val="000000"/>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spacing w:line="360" w:lineRule="auto"/>
        <w:ind w:firstLine="420"/>
        <w:rPr>
          <w:color w:val="000000"/>
        </w:rPr>
      </w:pPr>
      <w:r>
        <w:rPr>
          <w:rFonts w:ascii="宋体" w:hAnsi="宋体" w:cs="宋体"/>
          <w:color w:val="000000"/>
          <w:szCs w:val="21"/>
        </w:rPr>
        <w:t>①乙方同意退货并将货款退还给甲方，由此发生的一切费用和损失由乙方承担。</w:t>
      </w:r>
    </w:p>
    <w:p>
      <w:pPr>
        <w:spacing w:line="360" w:lineRule="auto"/>
        <w:ind w:firstLine="420"/>
        <w:rPr>
          <w:color w:val="000000"/>
        </w:rPr>
      </w:pPr>
      <w:r>
        <w:rPr>
          <w:rFonts w:ascii="宋体" w:hAnsi="宋体" w:cs="宋体"/>
          <w:color w:val="000000"/>
          <w:szCs w:val="21"/>
        </w:rPr>
        <w:t>②根据货物的质量状况以及甲方所遭受的损失，经过甲乙双方商定降低货物的价格。</w:t>
      </w:r>
    </w:p>
    <w:p>
      <w:pPr>
        <w:spacing w:line="360" w:lineRule="auto"/>
        <w:ind w:firstLine="420"/>
        <w:rPr>
          <w:color w:val="000000"/>
        </w:rPr>
      </w:pPr>
      <w:r>
        <w:rPr>
          <w:rFonts w:ascii="宋体" w:hAnsi="宋体" w:cs="宋体"/>
          <w:color w:val="000000"/>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spacing w:line="360" w:lineRule="auto"/>
        <w:ind w:firstLine="420"/>
        <w:rPr>
          <w:color w:val="000000"/>
        </w:rPr>
      </w:pPr>
      <w:r>
        <w:rPr>
          <w:rFonts w:ascii="宋体" w:hAnsi="宋体" w:cs="宋体"/>
          <w:color w:val="000000"/>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spacing w:line="360" w:lineRule="auto"/>
        <w:ind w:firstLine="420"/>
        <w:rPr>
          <w:color w:val="000000"/>
        </w:rPr>
      </w:pPr>
      <w:r>
        <w:rPr>
          <w:rFonts w:ascii="宋体" w:hAnsi="宋体" w:cs="宋体"/>
          <w:color w:val="000000"/>
          <w:szCs w:val="21"/>
        </w:rPr>
        <w:t>15.2迟延交货的违约责任</w:t>
      </w:r>
    </w:p>
    <w:p>
      <w:pPr>
        <w:spacing w:line="360" w:lineRule="auto"/>
        <w:ind w:firstLine="420"/>
        <w:rPr>
          <w:color w:val="000000"/>
        </w:rPr>
      </w:pPr>
      <w:r>
        <w:rPr>
          <w:rFonts w:ascii="宋体" w:hAnsi="宋体" w:cs="宋体"/>
          <w:color w:val="000000"/>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spacing w:line="360" w:lineRule="auto"/>
        <w:ind w:firstLine="420"/>
        <w:rPr>
          <w:color w:val="000000"/>
        </w:rPr>
      </w:pPr>
      <w:r>
        <w:rPr>
          <w:rFonts w:ascii="宋体" w:hAnsi="宋体" w:cs="宋体"/>
          <w:color w:val="000000"/>
          <w:szCs w:val="21"/>
        </w:rPr>
        <w:t>（2）除本合同第19条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spacing w:line="360" w:lineRule="auto"/>
        <w:ind w:firstLine="420"/>
        <w:rPr>
          <w:color w:val="000000"/>
        </w:rPr>
      </w:pPr>
      <w:r>
        <w:rPr>
          <w:rFonts w:ascii="宋体" w:hAnsi="宋体" w:cs="宋体"/>
          <w:color w:val="000000"/>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spacing w:line="360" w:lineRule="auto"/>
        <w:rPr>
          <w:color w:val="000000"/>
        </w:rPr>
      </w:pPr>
      <w:r>
        <w:rPr>
          <w:rFonts w:ascii="宋体" w:hAnsi="宋体" w:cs="宋体"/>
          <w:b/>
          <w:bCs/>
          <w:color w:val="000000"/>
          <w:szCs w:val="21"/>
        </w:rPr>
        <w:t>16.合同的变更</w:t>
      </w:r>
    </w:p>
    <w:p>
      <w:pPr>
        <w:spacing w:line="360" w:lineRule="auto"/>
        <w:ind w:firstLine="420"/>
        <w:rPr>
          <w:color w:val="000000"/>
        </w:rPr>
      </w:pPr>
      <w:r>
        <w:rPr>
          <w:rFonts w:ascii="宋体" w:hAnsi="宋体" w:cs="宋体"/>
          <w:color w:val="000000"/>
          <w:szCs w:val="21"/>
        </w:rPr>
        <w:t>16.1在合同履行过程中，甲、乙双方可就合同履行的时间、地点和方式等协商进行变更。协商一致后，双方应签订书面的补充协议。</w:t>
      </w:r>
    </w:p>
    <w:p>
      <w:pPr>
        <w:spacing w:line="360" w:lineRule="auto"/>
        <w:ind w:firstLine="420"/>
        <w:rPr>
          <w:color w:val="000000"/>
        </w:rPr>
      </w:pPr>
      <w:r>
        <w:rPr>
          <w:rFonts w:ascii="宋体" w:hAnsi="宋体" w:cs="宋体"/>
          <w:color w:val="000000"/>
          <w:szCs w:val="21"/>
        </w:rPr>
        <w:t>16.2在不改变合同其他条款的前提下，甲方有权在合同价款百分之十的范围内追加与合同标的相同的货物或服务，并就此与乙方签订补充合同，乙方不得拒绝。</w:t>
      </w:r>
    </w:p>
    <w:p>
      <w:pPr>
        <w:spacing w:line="360" w:lineRule="auto"/>
        <w:ind w:firstLine="420"/>
        <w:rPr>
          <w:color w:val="000000"/>
        </w:rPr>
      </w:pPr>
      <w:r>
        <w:rPr>
          <w:rFonts w:ascii="宋体" w:hAnsi="宋体" w:cs="宋体"/>
          <w:color w:val="000000"/>
          <w:szCs w:val="21"/>
        </w:rPr>
        <w:t>16.3除双方签署书面协议，并成为合同不可分割的一部分外，本合同条件不得有任何变更。</w:t>
      </w:r>
    </w:p>
    <w:p>
      <w:pPr>
        <w:spacing w:line="360" w:lineRule="auto"/>
        <w:rPr>
          <w:color w:val="000000"/>
        </w:rPr>
      </w:pPr>
      <w:r>
        <w:rPr>
          <w:rFonts w:ascii="宋体" w:hAnsi="宋体" w:cs="宋体"/>
          <w:b/>
          <w:bCs/>
          <w:color w:val="000000"/>
          <w:szCs w:val="21"/>
        </w:rPr>
        <w:t>17.合同中止与终止</w:t>
      </w:r>
    </w:p>
    <w:p>
      <w:pPr>
        <w:spacing w:line="360" w:lineRule="auto"/>
        <w:ind w:firstLine="420"/>
        <w:rPr>
          <w:color w:val="000000"/>
        </w:rPr>
      </w:pPr>
      <w:r>
        <w:rPr>
          <w:rFonts w:ascii="宋体" w:hAnsi="宋体" w:cs="宋体"/>
          <w:color w:val="000000"/>
          <w:szCs w:val="21"/>
        </w:rPr>
        <w:t>17.1合同的中止</w:t>
      </w:r>
    </w:p>
    <w:p>
      <w:pPr>
        <w:spacing w:line="360" w:lineRule="auto"/>
        <w:ind w:firstLine="420"/>
        <w:rPr>
          <w:color w:val="000000"/>
        </w:rPr>
      </w:pPr>
      <w:r>
        <w:rPr>
          <w:rFonts w:ascii="宋体" w:hAnsi="宋体" w:cs="宋体"/>
          <w:color w:val="000000"/>
          <w:szCs w:val="21"/>
        </w:rPr>
        <w:t>（1）合同在履行过程中，因采购计划调整，甲方可以要求中止履行，待计划确定后继续履行；</w:t>
      </w:r>
    </w:p>
    <w:p>
      <w:pPr>
        <w:spacing w:line="360" w:lineRule="auto"/>
        <w:ind w:firstLine="420"/>
        <w:rPr>
          <w:color w:val="000000"/>
        </w:rPr>
      </w:pPr>
      <w:r>
        <w:rPr>
          <w:rFonts w:ascii="宋体" w:hAnsi="宋体" w:cs="宋体"/>
          <w:color w:val="000000"/>
          <w:szCs w:val="21"/>
        </w:rPr>
        <w:t>（2）合同履行过程中因供应商就采购过程或结果提起投诉的，甲方认为有必要或财政部门责令中止的，应当中止合同的履行。</w:t>
      </w:r>
    </w:p>
    <w:p>
      <w:pPr>
        <w:spacing w:line="360" w:lineRule="auto"/>
        <w:ind w:firstLine="420"/>
        <w:rPr>
          <w:color w:val="000000"/>
        </w:rPr>
      </w:pPr>
      <w:r>
        <w:rPr>
          <w:rFonts w:ascii="宋体" w:hAnsi="宋体" w:cs="宋体"/>
          <w:color w:val="000000"/>
          <w:szCs w:val="21"/>
        </w:rPr>
        <w:t>17.2合同的终止</w:t>
      </w:r>
    </w:p>
    <w:p>
      <w:pPr>
        <w:spacing w:line="360" w:lineRule="auto"/>
        <w:ind w:firstLine="420"/>
        <w:rPr>
          <w:color w:val="000000"/>
        </w:rPr>
      </w:pPr>
      <w:r>
        <w:rPr>
          <w:rFonts w:ascii="宋体" w:hAnsi="宋体" w:cs="宋体"/>
          <w:color w:val="000000"/>
          <w:szCs w:val="21"/>
        </w:rPr>
        <w:t>（1）合同因有效期限届满而终止；</w:t>
      </w:r>
    </w:p>
    <w:p>
      <w:pPr>
        <w:spacing w:line="360" w:lineRule="auto"/>
        <w:ind w:firstLine="420"/>
        <w:rPr>
          <w:color w:val="000000"/>
        </w:rPr>
      </w:pPr>
      <w:r>
        <w:rPr>
          <w:rFonts w:ascii="宋体" w:hAnsi="宋体" w:cs="宋体"/>
          <w:color w:val="000000"/>
          <w:szCs w:val="21"/>
        </w:rPr>
        <w:t>（2）乙方未能依照本合同约定条件履行合同，已构成根本性违约的，甲方有权终止本合同，并追究乙方的违约责任。</w:t>
      </w:r>
    </w:p>
    <w:p>
      <w:pPr>
        <w:spacing w:line="360" w:lineRule="auto"/>
        <w:ind w:firstLine="420"/>
        <w:rPr>
          <w:color w:val="000000"/>
        </w:rPr>
      </w:pPr>
      <w:r>
        <w:rPr>
          <w:rFonts w:ascii="宋体" w:hAnsi="宋体" w:cs="宋体"/>
          <w:color w:val="000000"/>
          <w:szCs w:val="21"/>
        </w:rPr>
        <w:t>（3）如果乙方丧失履约能力或被宣告破产，甲方可在任何时候以书面形式通知乙方终止合同而不给乙方补偿。</w:t>
      </w:r>
    </w:p>
    <w:p>
      <w:pPr>
        <w:spacing w:line="360" w:lineRule="auto"/>
        <w:ind w:firstLine="420"/>
        <w:rPr>
          <w:color w:val="000000"/>
        </w:rPr>
      </w:pPr>
      <w:r>
        <w:rPr>
          <w:rFonts w:ascii="宋体" w:hAnsi="宋体" w:cs="宋体"/>
          <w:color w:val="000000"/>
          <w:szCs w:val="21"/>
        </w:rPr>
        <w:t>（4）如果乙方在履行合同过程中有不正当竞争行为，甲方有权解除合同，并按《中华人民共和国反不正当竞争法》规定由有关部门追究其法律责任。</w:t>
      </w:r>
    </w:p>
    <w:p>
      <w:pPr>
        <w:spacing w:line="360" w:lineRule="auto"/>
        <w:ind w:firstLine="420"/>
        <w:rPr>
          <w:color w:val="000000"/>
        </w:rPr>
      </w:pPr>
      <w:r>
        <w:rPr>
          <w:rFonts w:ascii="宋体" w:hAnsi="宋体" w:cs="宋体"/>
          <w:color w:val="000000"/>
          <w:szCs w:val="21"/>
        </w:rPr>
        <w:t>（5）如果合同的履行将损害国家利益或社会公共利益，甲方有权终止合同的履行，给乙方造成损失的予以相应补偿。</w:t>
      </w:r>
    </w:p>
    <w:p>
      <w:pPr>
        <w:spacing w:line="360" w:lineRule="auto"/>
        <w:rPr>
          <w:color w:val="000000"/>
        </w:rPr>
      </w:pPr>
      <w:r>
        <w:rPr>
          <w:rFonts w:ascii="宋体" w:hAnsi="宋体" w:cs="宋体"/>
          <w:b/>
          <w:bCs/>
          <w:color w:val="000000"/>
          <w:szCs w:val="21"/>
        </w:rPr>
        <w:t>18.合同转让和分包</w:t>
      </w:r>
    </w:p>
    <w:p>
      <w:pPr>
        <w:spacing w:line="360" w:lineRule="auto"/>
        <w:ind w:firstLine="420"/>
        <w:rPr>
          <w:color w:val="000000"/>
        </w:rPr>
      </w:pPr>
      <w:r>
        <w:rPr>
          <w:rFonts w:ascii="宋体" w:hAnsi="宋体" w:cs="宋体"/>
          <w:color w:val="000000"/>
          <w:szCs w:val="21"/>
        </w:rPr>
        <w:t>18.1乙方不得以任何形式将合同转包。</w:t>
      </w:r>
    </w:p>
    <w:p>
      <w:pPr>
        <w:spacing w:line="360" w:lineRule="auto"/>
        <w:ind w:firstLine="420"/>
        <w:rPr>
          <w:color w:val="000000"/>
        </w:rPr>
      </w:pPr>
      <w:r>
        <w:rPr>
          <w:rFonts w:ascii="宋体" w:hAnsi="宋体" w:cs="宋体"/>
          <w:color w:val="000000"/>
          <w:szCs w:val="21"/>
        </w:rPr>
        <w:t>18.2乙方未在响应文件中说明，且未经甲方书面同意，乙方不得将合同的主体、关键性工作分包给他人。</w:t>
      </w:r>
    </w:p>
    <w:p>
      <w:pPr>
        <w:spacing w:line="360" w:lineRule="auto"/>
        <w:ind w:firstLine="420"/>
        <w:rPr>
          <w:color w:val="000000"/>
        </w:rPr>
      </w:pPr>
      <w:r>
        <w:rPr>
          <w:rFonts w:ascii="宋体" w:hAnsi="宋体" w:cs="宋体"/>
          <w:color w:val="000000"/>
          <w:szCs w:val="21"/>
        </w:rPr>
        <w:t>18.3根据政府采购支持中小企业发展政策规定，经甲方同意，获得政府采购合同的大型企业可依法向中小企业分包。</w:t>
      </w:r>
    </w:p>
    <w:p>
      <w:pPr>
        <w:spacing w:line="360" w:lineRule="auto"/>
        <w:rPr>
          <w:color w:val="000000"/>
        </w:rPr>
      </w:pPr>
      <w:r>
        <w:rPr>
          <w:rFonts w:ascii="宋体" w:hAnsi="宋体" w:cs="宋体"/>
          <w:b/>
          <w:bCs/>
          <w:color w:val="000000"/>
          <w:szCs w:val="21"/>
        </w:rPr>
        <w:t>19.不可抗力</w:t>
      </w:r>
    </w:p>
    <w:p>
      <w:pPr>
        <w:spacing w:line="360" w:lineRule="auto"/>
        <w:ind w:firstLine="420"/>
        <w:rPr>
          <w:color w:val="000000"/>
        </w:rPr>
      </w:pPr>
      <w:r>
        <w:rPr>
          <w:rFonts w:ascii="宋体" w:hAnsi="宋体" w:cs="宋体"/>
          <w:color w:val="000000"/>
          <w:szCs w:val="21"/>
        </w:rPr>
        <w:t>19.1不可抗力是指合同双方不可预见、不可避免、不可克服的自然灾害和社会事件。</w:t>
      </w:r>
    </w:p>
    <w:p>
      <w:pPr>
        <w:spacing w:line="360" w:lineRule="auto"/>
        <w:ind w:firstLine="420"/>
        <w:rPr>
          <w:color w:val="000000"/>
        </w:rPr>
      </w:pPr>
      <w:r>
        <w:rPr>
          <w:rFonts w:ascii="宋体" w:hAnsi="宋体" w:cs="宋体"/>
          <w:color w:val="000000"/>
          <w:szCs w:val="21"/>
        </w:rPr>
        <w:t>19.2任何一方对由于不可抗力造成的部分或全部不能履行合同不承担违约责任。但迟延履行后发生不可抗力的，不能免除责任。</w:t>
      </w:r>
    </w:p>
    <w:p>
      <w:pPr>
        <w:spacing w:line="360" w:lineRule="auto"/>
        <w:ind w:firstLine="420"/>
        <w:rPr>
          <w:color w:val="000000"/>
        </w:rPr>
      </w:pPr>
      <w:r>
        <w:rPr>
          <w:rFonts w:ascii="宋体" w:hAnsi="宋体" w:cs="宋体"/>
          <w:color w:val="000000"/>
          <w:szCs w:val="21"/>
        </w:rPr>
        <w:t>19.3遇有不可抗力的一方，应在三日内将事件的情况以书面形式通知另一方，并在事件发生后十日内，向另一方提交合同不能履行或部分不能履行或需要延期履行理由的报告。</w:t>
      </w:r>
    </w:p>
    <w:p>
      <w:pPr>
        <w:spacing w:line="360" w:lineRule="auto"/>
        <w:rPr>
          <w:color w:val="000000"/>
        </w:rPr>
      </w:pPr>
      <w:r>
        <w:rPr>
          <w:rFonts w:ascii="宋体" w:hAnsi="宋体" w:cs="宋体"/>
          <w:b/>
          <w:bCs/>
          <w:color w:val="000000"/>
          <w:szCs w:val="21"/>
        </w:rPr>
        <w:t>20.解决争议的方法</w:t>
      </w:r>
    </w:p>
    <w:p>
      <w:pPr>
        <w:spacing w:line="360" w:lineRule="auto"/>
        <w:ind w:firstLine="420"/>
        <w:rPr>
          <w:color w:val="000000"/>
        </w:rPr>
      </w:pPr>
      <w:r>
        <w:rPr>
          <w:rFonts w:ascii="宋体" w:hAnsi="宋体" w:cs="宋体"/>
          <w:color w:val="000000"/>
          <w:szCs w:val="21"/>
        </w:rPr>
        <w:t>20.1合同各方应通</w:t>
      </w:r>
      <w:r>
        <w:rPr>
          <w:rFonts w:hint="eastAsia" w:ascii="宋体" w:hAnsi="宋体" w:cs="宋体"/>
          <w:color w:val="000000"/>
          <w:szCs w:val="21"/>
          <w:lang w:val="en-US" w:eastAsia="zh-CN"/>
        </w:rPr>
        <w:t xml:space="preserve"> </w:t>
      </w:r>
      <w:r>
        <w:rPr>
          <w:rFonts w:ascii="宋体" w:hAnsi="宋体" w:cs="宋体"/>
          <w:color w:val="000000"/>
          <w:szCs w:val="21"/>
        </w:rPr>
        <w:t>过友好协商，解决在执行合同过程中所发生的或与合同有关的一切争端。如从协商开始后十日内仍不能解决，可以向财政部门提请调解。</w:t>
      </w:r>
    </w:p>
    <w:p>
      <w:pPr>
        <w:spacing w:line="360" w:lineRule="auto"/>
        <w:ind w:firstLine="420"/>
        <w:rPr>
          <w:color w:val="000000"/>
        </w:rPr>
      </w:pPr>
      <w:r>
        <w:rPr>
          <w:rFonts w:ascii="宋体" w:hAnsi="宋体" w:cs="宋体"/>
          <w:color w:val="000000"/>
          <w:szCs w:val="21"/>
        </w:rPr>
        <w:t>20.2调解不成可以按</w:t>
      </w:r>
      <w:r>
        <w:rPr>
          <w:rFonts w:ascii="宋体" w:hAnsi="宋体" w:cs="宋体"/>
          <w:b/>
          <w:bCs/>
          <w:color w:val="000000"/>
          <w:szCs w:val="21"/>
        </w:rPr>
        <w:t>政府采购合同专用条款</w:t>
      </w:r>
      <w:r>
        <w:rPr>
          <w:rFonts w:ascii="宋体" w:hAnsi="宋体" w:cs="宋体"/>
          <w:color w:val="000000"/>
          <w:szCs w:val="21"/>
        </w:rPr>
        <w:t>中规定下列方式之一提起仲裁或诉讼：</w:t>
      </w:r>
    </w:p>
    <w:p>
      <w:pPr>
        <w:spacing w:line="360" w:lineRule="auto"/>
        <w:ind w:firstLine="420"/>
        <w:rPr>
          <w:color w:val="000000"/>
        </w:rPr>
      </w:pPr>
      <w:r>
        <w:rPr>
          <w:rFonts w:ascii="宋体" w:hAnsi="宋体" w:cs="宋体"/>
          <w:color w:val="000000"/>
          <w:szCs w:val="21"/>
        </w:rPr>
        <w:t>（1）向甲方所在地仲裁机构提起仲裁；</w:t>
      </w:r>
    </w:p>
    <w:p>
      <w:pPr>
        <w:spacing w:line="360" w:lineRule="auto"/>
        <w:ind w:firstLine="420"/>
        <w:rPr>
          <w:color w:val="000000"/>
        </w:rPr>
      </w:pPr>
      <w:r>
        <w:rPr>
          <w:rFonts w:ascii="宋体" w:hAnsi="宋体" w:cs="宋体"/>
          <w:color w:val="000000"/>
          <w:szCs w:val="21"/>
        </w:rPr>
        <w:t>（2）向甲方所在地人民法院提起诉讼。</w:t>
      </w:r>
    </w:p>
    <w:p>
      <w:pPr>
        <w:spacing w:line="360" w:lineRule="auto"/>
        <w:ind w:firstLine="420"/>
        <w:rPr>
          <w:color w:val="000000"/>
        </w:rPr>
      </w:pPr>
      <w:r>
        <w:rPr>
          <w:rFonts w:ascii="宋体" w:hAnsi="宋体" w:cs="宋体"/>
          <w:color w:val="000000"/>
          <w:szCs w:val="21"/>
        </w:rPr>
        <w:t>20.3如仲裁或诉讼事项不影响合同其它部分的履行，则在仲裁或诉讼期间，除正在进行仲裁或诉讼的部分外，合同的其它部分应继续执行。</w:t>
      </w:r>
    </w:p>
    <w:p>
      <w:pPr>
        <w:spacing w:line="360" w:lineRule="auto"/>
        <w:rPr>
          <w:color w:val="000000"/>
        </w:rPr>
      </w:pPr>
      <w:r>
        <w:rPr>
          <w:rFonts w:ascii="宋体" w:hAnsi="宋体" w:cs="宋体"/>
          <w:b/>
          <w:bCs/>
          <w:color w:val="000000"/>
          <w:szCs w:val="21"/>
        </w:rPr>
        <w:t>21.法律适用</w:t>
      </w:r>
    </w:p>
    <w:p>
      <w:pPr>
        <w:spacing w:line="360" w:lineRule="auto"/>
        <w:ind w:firstLine="420"/>
        <w:rPr>
          <w:color w:val="000000"/>
        </w:rPr>
      </w:pPr>
      <w:r>
        <w:rPr>
          <w:rFonts w:ascii="宋体" w:hAnsi="宋体" w:cs="宋体"/>
          <w:color w:val="000000"/>
          <w:szCs w:val="21"/>
        </w:rPr>
        <w:t>21.1本合同适用中华人民共和国现行法律、行政法规和规章，如合同条款与法律、行政法规和规章不一致的，按照法律、行政法规和规章修改本合同。</w:t>
      </w:r>
    </w:p>
    <w:p>
      <w:pPr>
        <w:spacing w:line="360" w:lineRule="auto"/>
        <w:rPr>
          <w:color w:val="000000"/>
        </w:rPr>
      </w:pPr>
      <w:r>
        <w:rPr>
          <w:rFonts w:ascii="宋体" w:hAnsi="宋体" w:cs="宋体"/>
          <w:b/>
          <w:bCs/>
          <w:color w:val="000000"/>
          <w:szCs w:val="21"/>
        </w:rPr>
        <w:t>22.通知</w:t>
      </w:r>
    </w:p>
    <w:p>
      <w:pPr>
        <w:spacing w:line="360" w:lineRule="auto"/>
        <w:ind w:firstLine="420"/>
        <w:rPr>
          <w:color w:val="000000"/>
        </w:rPr>
      </w:pPr>
      <w:r>
        <w:rPr>
          <w:rFonts w:ascii="宋体" w:hAnsi="宋体" w:cs="宋体"/>
          <w:color w:val="000000"/>
          <w:szCs w:val="21"/>
        </w:rPr>
        <w:t>22.1本合同一方给另一方的通知均应采用书面形式，传真或快递送到本合同中规定的对方的地址和办理签收手续，</w:t>
      </w:r>
    </w:p>
    <w:p>
      <w:pPr>
        <w:spacing w:line="360" w:lineRule="auto"/>
        <w:ind w:firstLine="420"/>
        <w:rPr>
          <w:color w:val="000000"/>
        </w:rPr>
      </w:pPr>
      <w:r>
        <w:rPr>
          <w:rFonts w:ascii="宋体" w:hAnsi="宋体" w:cs="宋体"/>
          <w:color w:val="000000"/>
          <w:szCs w:val="21"/>
        </w:rPr>
        <w:t>22.2通知以送到之日或通知书中规定的生效之日起生效，两者中以较迟之日为准。</w:t>
      </w:r>
    </w:p>
    <w:p>
      <w:pPr>
        <w:spacing w:line="360" w:lineRule="auto"/>
        <w:rPr>
          <w:color w:val="000000"/>
        </w:rPr>
      </w:pPr>
      <w:r>
        <w:rPr>
          <w:rFonts w:ascii="宋体" w:hAnsi="宋体" w:cs="宋体"/>
          <w:b/>
          <w:bCs/>
          <w:color w:val="000000"/>
          <w:szCs w:val="21"/>
        </w:rPr>
        <w:t>23.合同生效</w:t>
      </w:r>
    </w:p>
    <w:p>
      <w:pPr>
        <w:spacing w:line="360" w:lineRule="auto"/>
        <w:ind w:firstLine="420"/>
        <w:rPr>
          <w:color w:val="000000"/>
        </w:rPr>
      </w:pPr>
      <w:r>
        <w:rPr>
          <w:rFonts w:ascii="宋体" w:hAnsi="宋体" w:cs="宋体"/>
          <w:color w:val="000000"/>
          <w:szCs w:val="21"/>
        </w:rPr>
        <w:t>23.1本合同在合同各方签字盖章后生效</w:t>
      </w:r>
    </w:p>
    <w:p>
      <w:pPr>
        <w:spacing w:line="360" w:lineRule="auto"/>
        <w:rPr>
          <w:color w:val="000000"/>
        </w:rPr>
      </w:pPr>
      <w:r>
        <w:rPr>
          <w:rFonts w:ascii="宋体" w:hAnsi="宋体" w:cs="宋体"/>
          <w:b/>
          <w:bCs/>
          <w:color w:val="000000"/>
          <w:sz w:val="20"/>
          <w:szCs w:val="20"/>
        </w:rPr>
        <w:t>24.附则</w:t>
      </w:r>
    </w:p>
    <w:p>
      <w:pPr>
        <w:spacing w:line="360" w:lineRule="auto"/>
        <w:ind w:firstLine="420"/>
        <w:rPr>
          <w:color w:val="000000"/>
        </w:rPr>
      </w:pPr>
      <w:r>
        <w:rPr>
          <w:rFonts w:ascii="宋体" w:hAnsi="宋体" w:cs="宋体"/>
          <w:color w:val="000000"/>
          <w:szCs w:val="21"/>
        </w:rPr>
        <w:t>24.1本合同未尽事宜，见</w:t>
      </w:r>
      <w:r>
        <w:rPr>
          <w:rFonts w:ascii="宋体" w:hAnsi="宋体" w:cs="宋体"/>
          <w:b/>
          <w:bCs/>
          <w:color w:val="000000"/>
          <w:szCs w:val="21"/>
        </w:rPr>
        <w:t>政府采购合同专用条款。</w:t>
      </w:r>
    </w:p>
    <w:p>
      <w:r>
        <w:br w:type="page"/>
      </w:r>
    </w:p>
    <w:p>
      <w:pPr>
        <w:spacing w:before="156" w:line="360" w:lineRule="auto"/>
        <w:ind w:right="384"/>
        <w:jc w:val="center"/>
        <w:rPr>
          <w:color w:val="000000"/>
        </w:rPr>
      </w:pPr>
      <w:r>
        <w:rPr>
          <w:rFonts w:ascii="黑体" w:hAnsi="黑体" w:eastAsia="黑体" w:cs="黑体"/>
          <w:b/>
          <w:bCs/>
          <w:color w:val="000000"/>
          <w:sz w:val="32"/>
          <w:szCs w:val="32"/>
        </w:rPr>
        <w:t>三、政府采购合同专用条款</w:t>
      </w:r>
    </w:p>
    <w:p>
      <w:pPr>
        <w:spacing w:after="120"/>
        <w:ind w:left="105"/>
        <w:jc w:val="center"/>
        <w:rPr>
          <w:color w:val="000000"/>
        </w:rPr>
      </w:pPr>
      <w:r>
        <w:rPr>
          <w:rFonts w:ascii="黑体" w:hAnsi="黑体" w:eastAsia="黑体" w:cs="黑体"/>
          <w:b/>
          <w:bCs/>
          <w:color w:val="000000"/>
          <w:sz w:val="28"/>
          <w:szCs w:val="28"/>
        </w:rPr>
        <w:t>政府采购合同专用条款（货物类）</w:t>
      </w:r>
    </w:p>
    <w:p>
      <w:pPr>
        <w:spacing w:after="120"/>
        <w:ind w:left="105"/>
        <w:jc w:val="center"/>
        <w:rPr>
          <w:color w:val="000000"/>
        </w:rPr>
      </w:pPr>
      <w:r>
        <w:rPr>
          <w:color w:val="000000"/>
          <w:sz w:val="20"/>
          <w:szCs w:val="20"/>
        </w:rPr>
        <w:t xml:space="preserve">  </w:t>
      </w:r>
    </w:p>
    <w:tbl>
      <w:tblPr>
        <w:tblStyle w:val="43"/>
        <w:tblW w:w="0" w:type="auto"/>
        <w:tblInd w:w="2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30"/>
        <w:gridCol w:w="1916"/>
        <w:gridCol w:w="4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第1.2（6）款</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项目现场</w:t>
            </w:r>
          </w:p>
        </w:tc>
        <w:tc>
          <w:tcPr>
            <w:tcW w:w="4371" w:type="dxa"/>
            <w:noWrap/>
            <w:tcMar>
              <w:top w:w="0" w:type="dxa"/>
              <w:left w:w="108" w:type="dxa"/>
              <w:bottom w:w="0" w:type="dxa"/>
              <w:right w:w="108" w:type="dxa"/>
            </w:tcMar>
            <w:vAlign w:val="center"/>
          </w:tcPr>
          <w:p>
            <w:pPr>
              <w:spacing w:after="12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第5.1条</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履行合同的时间、地点及方式</w:t>
            </w:r>
          </w:p>
        </w:tc>
        <w:tc>
          <w:tcPr>
            <w:tcW w:w="4371" w:type="dxa"/>
            <w:noWrap/>
            <w:tcMar>
              <w:top w:w="0" w:type="dxa"/>
              <w:left w:w="108" w:type="dxa"/>
              <w:bottom w:w="0" w:type="dxa"/>
              <w:right w:w="108" w:type="dxa"/>
            </w:tcMar>
            <w:vAlign w:val="center"/>
          </w:tcPr>
          <w:p>
            <w:pPr>
              <w:spacing w:line="360" w:lineRule="auto"/>
              <w:rPr>
                <w:highlight w:val="none"/>
              </w:rPr>
            </w:pPr>
            <w:r>
              <w:rPr>
                <w:rFonts w:hint="eastAsia"/>
                <w:highlight w:val="none"/>
              </w:rPr>
              <w:t>交货时间：合同签订后30天内完成交货</w:t>
            </w:r>
          </w:p>
          <w:p>
            <w:pPr>
              <w:spacing w:line="360" w:lineRule="auto"/>
              <w:rPr>
                <w:highlight w:val="none"/>
              </w:rPr>
            </w:pPr>
            <w:r>
              <w:rPr>
                <w:rFonts w:hint="eastAsia"/>
                <w:highlight w:val="none"/>
              </w:rPr>
              <w:t>交货地点：交货地点： 采购人指定地点</w:t>
            </w:r>
          </w:p>
          <w:p>
            <w:pPr>
              <w:spacing w:line="360" w:lineRule="auto"/>
              <w:rPr>
                <w:color w:val="000000"/>
                <w:highlight w:val="none"/>
              </w:rPr>
            </w:pPr>
            <w:r>
              <w:rPr>
                <w:rFonts w:hint="eastAsia"/>
                <w:highlight w:val="none"/>
              </w:rPr>
              <w:t>交货方式：货到指点地点且移交相关资料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2" w:hRule="atLeast"/>
        </w:trPr>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第9.2(1) 款</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质量保证期</w:t>
            </w:r>
          </w:p>
        </w:tc>
        <w:tc>
          <w:tcPr>
            <w:tcW w:w="4371" w:type="dxa"/>
            <w:noWrap/>
            <w:tcMar>
              <w:top w:w="0" w:type="dxa"/>
              <w:left w:w="108" w:type="dxa"/>
              <w:bottom w:w="0" w:type="dxa"/>
              <w:right w:w="108" w:type="dxa"/>
            </w:tcMar>
            <w:vAlign w:val="center"/>
          </w:tcPr>
          <w:p>
            <w:pPr>
              <w:spacing w:after="120"/>
              <w:rPr>
                <w:color w:val="000000"/>
              </w:rPr>
            </w:pPr>
            <w:r>
              <w:rPr>
                <w:rFonts w:hint="eastAsia"/>
                <w:color w:val="000000"/>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第9.2(3) 款</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响应时间</w:t>
            </w:r>
          </w:p>
        </w:tc>
        <w:tc>
          <w:tcPr>
            <w:tcW w:w="4371" w:type="dxa"/>
            <w:noWrap/>
            <w:tcMar>
              <w:top w:w="0" w:type="dxa"/>
              <w:left w:w="108" w:type="dxa"/>
              <w:bottom w:w="0" w:type="dxa"/>
              <w:right w:w="108" w:type="dxa"/>
            </w:tcMar>
            <w:vAlign w:val="center"/>
          </w:tcPr>
          <w:p>
            <w:pPr>
              <w:spacing w:line="360" w:lineRule="auto"/>
              <w:rPr>
                <w:highlight w:val="none"/>
              </w:rPr>
            </w:pPr>
            <w:r>
              <w:rPr>
                <w:rFonts w:hint="eastAsia"/>
                <w:highlight w:val="none"/>
              </w:rPr>
              <w:t>1.提供7×24小时的故障服务受理</w:t>
            </w:r>
          </w:p>
          <w:p>
            <w:pPr>
              <w:spacing w:after="120"/>
              <w:rPr>
                <w:color w:val="000000"/>
                <w:highlight w:val="none"/>
              </w:rPr>
            </w:pPr>
            <w:r>
              <w:rPr>
                <w:rFonts w:hint="eastAsia"/>
                <w:highlight w:val="none"/>
              </w:rPr>
              <w:t>2.对重大故障提供7×24小时的现场支援，一般故障提供5×8小时的现场支援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第13.5条</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合同价款支付方式和条件</w:t>
            </w:r>
          </w:p>
        </w:tc>
        <w:tc>
          <w:tcPr>
            <w:tcW w:w="4371" w:type="dxa"/>
            <w:noWrap/>
            <w:tcMar>
              <w:top w:w="0" w:type="dxa"/>
              <w:left w:w="108" w:type="dxa"/>
              <w:bottom w:w="0" w:type="dxa"/>
              <w:right w:w="108" w:type="dxa"/>
            </w:tcMar>
            <w:vAlign w:val="center"/>
          </w:tcPr>
          <w:p>
            <w:pPr>
              <w:spacing w:line="360" w:lineRule="auto"/>
              <w:rPr>
                <w:highlight w:val="none"/>
              </w:rPr>
            </w:pPr>
            <w:r>
              <w:rPr>
                <w:rFonts w:hint="eastAsia"/>
                <w:highlight w:val="none"/>
              </w:rPr>
              <w:t>支付方式：国库集中支付</w:t>
            </w:r>
          </w:p>
          <w:p>
            <w:pPr>
              <w:spacing w:line="360" w:lineRule="auto"/>
              <w:rPr>
                <w:color w:val="000000"/>
                <w:highlight w:val="none"/>
              </w:rPr>
            </w:pPr>
            <w:r>
              <w:rPr>
                <w:rFonts w:hint="eastAsia"/>
                <w:highlight w:val="none"/>
              </w:rPr>
              <w:t>付款条件：所有设备安装调试完毕，成交供应商提出申请，采购人组织相关人员验收，验收合格后支付合同总额的95%，余款5%在所有产品壹年质保期满后（无质量问题、售后服务纠纷，以及其他经济法律纠纷等）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第14.2(6) 款</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伴随服务</w:t>
            </w:r>
          </w:p>
        </w:tc>
        <w:tc>
          <w:tcPr>
            <w:tcW w:w="4371" w:type="dxa"/>
            <w:noWrap/>
            <w:tcMar>
              <w:top w:w="0" w:type="dxa"/>
              <w:left w:w="108" w:type="dxa"/>
              <w:bottom w:w="0" w:type="dxa"/>
              <w:right w:w="108" w:type="dxa"/>
            </w:tcMar>
            <w:vAlign w:val="center"/>
          </w:tcPr>
          <w:p>
            <w:pPr>
              <w:spacing w:after="120"/>
              <w:rPr>
                <w:color w:val="000000"/>
              </w:rPr>
            </w:pPr>
            <w:r>
              <w:rPr>
                <w:rFonts w:ascii="宋体" w:hAnsi="宋体" w:cs="宋体"/>
                <w:color w:val="000000"/>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第20.2条</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解决争议的方式</w:t>
            </w:r>
          </w:p>
        </w:tc>
        <w:tc>
          <w:tcPr>
            <w:tcW w:w="4371" w:type="dxa"/>
            <w:noWrap/>
            <w:tcMar>
              <w:top w:w="0" w:type="dxa"/>
              <w:left w:w="108" w:type="dxa"/>
              <w:bottom w:w="0" w:type="dxa"/>
              <w:right w:w="108" w:type="dxa"/>
            </w:tcMar>
            <w:vAlign w:val="center"/>
          </w:tcPr>
          <w:p>
            <w:pPr>
              <w:spacing w:after="120"/>
              <w:rPr>
                <w:rFonts w:ascii="宋体" w:hAnsi="宋体" w:cs="宋体"/>
                <w:color w:val="000000"/>
                <w:szCs w:val="21"/>
              </w:rPr>
            </w:pPr>
            <w:r>
              <w:rPr>
                <w:rFonts w:ascii="宋体" w:hAnsi="宋体" w:cs="宋体"/>
                <w:color w:val="000000"/>
                <w:szCs w:val="21"/>
              </w:rPr>
              <w:t xml:space="preserve">仲裁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130"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第24.1条</w:t>
            </w:r>
          </w:p>
        </w:tc>
        <w:tc>
          <w:tcPr>
            <w:tcW w:w="1916" w:type="dxa"/>
            <w:noWrap/>
            <w:tcMar>
              <w:top w:w="0" w:type="dxa"/>
              <w:left w:w="108" w:type="dxa"/>
              <w:bottom w:w="0" w:type="dxa"/>
              <w:right w:w="108" w:type="dxa"/>
            </w:tcMar>
            <w:vAlign w:val="center"/>
          </w:tcPr>
          <w:p>
            <w:pPr>
              <w:spacing w:after="120"/>
              <w:jc w:val="center"/>
              <w:rPr>
                <w:color w:val="000000"/>
              </w:rPr>
            </w:pPr>
            <w:r>
              <w:rPr>
                <w:rFonts w:ascii="宋体" w:hAnsi="宋体" w:cs="宋体"/>
                <w:color w:val="000000"/>
                <w:szCs w:val="21"/>
              </w:rPr>
              <w:t>合同未尽事项</w:t>
            </w:r>
          </w:p>
        </w:tc>
        <w:tc>
          <w:tcPr>
            <w:tcW w:w="4371" w:type="dxa"/>
            <w:noWrap/>
            <w:tcMar>
              <w:top w:w="0" w:type="dxa"/>
              <w:left w:w="108" w:type="dxa"/>
              <w:bottom w:w="0" w:type="dxa"/>
              <w:right w:w="108" w:type="dxa"/>
            </w:tcMar>
            <w:vAlign w:val="center"/>
          </w:tcPr>
          <w:p>
            <w:pPr>
              <w:spacing w:after="120"/>
              <w:rPr>
                <w:rFonts w:ascii="宋体" w:hAnsi="宋体" w:cs="宋体"/>
                <w:color w:val="000000"/>
                <w:szCs w:val="21"/>
              </w:rPr>
            </w:pPr>
            <w:r>
              <w:rPr>
                <w:rFonts w:ascii="宋体" w:hAnsi="宋体" w:cs="宋体"/>
                <w:color w:val="000000"/>
                <w:szCs w:val="21"/>
              </w:rPr>
              <w:t xml:space="preserve">另行约定 </w:t>
            </w:r>
          </w:p>
        </w:tc>
      </w:tr>
    </w:tbl>
    <w:p>
      <w:pPr>
        <w:pStyle w:val="6"/>
        <w:jc w:val="center"/>
        <w:rPr>
          <w:rFonts w:ascii="黑体" w:hAnsi="黑体" w:eastAsia="黑体"/>
          <w:sz w:val="32"/>
        </w:rPr>
      </w:pPr>
      <w:r>
        <w:br w:type="page"/>
      </w:r>
      <w:bookmarkEnd w:id="54"/>
      <w:bookmarkStart w:id="56" w:name="_Toc19628646"/>
      <w:bookmarkStart w:id="57" w:name="_Toc23311"/>
      <w:r>
        <w:rPr>
          <w:rFonts w:hint="eastAsia" w:ascii="黑体" w:hAnsi="黑体" w:eastAsia="黑体"/>
          <w:sz w:val="32"/>
        </w:rPr>
        <w:t>第五章 响应文件组成</w:t>
      </w:r>
      <w:bookmarkEnd w:id="56"/>
      <w:bookmarkEnd w:id="57"/>
    </w:p>
    <w:p>
      <w:pPr>
        <w:widowControl/>
        <w:tabs>
          <w:tab w:val="left" w:pos="753"/>
        </w:tabs>
        <w:adjustRightInd w:val="0"/>
        <w:snapToGrid w:val="0"/>
        <w:spacing w:beforeLines="50" w:line="360" w:lineRule="auto"/>
        <w:ind w:firstLine="480" w:firstLineChars="200"/>
        <w:jc w:val="center"/>
        <w:rPr>
          <w:rFonts w:ascii="宋体" w:hAnsi="宋体"/>
          <w:sz w:val="24"/>
        </w:rPr>
      </w:pPr>
      <w:r>
        <w:rPr>
          <w:rFonts w:hint="eastAsia" w:ascii="宋体" w:hAnsi="宋体"/>
          <w:sz w:val="24"/>
        </w:rPr>
        <w:t>目录</w:t>
      </w:r>
    </w:p>
    <w:p>
      <w:pPr>
        <w:adjustRightInd w:val="0"/>
        <w:snapToGrid w:val="0"/>
        <w:spacing w:beforeLines="50" w:line="360" w:lineRule="auto"/>
        <w:rPr>
          <w:rFonts w:ascii="宋体"/>
        </w:rPr>
      </w:pPr>
      <w:r>
        <w:rPr>
          <w:rFonts w:hint="eastAsia" w:ascii="宋体"/>
        </w:rPr>
        <w:t>供应商的响应文件应包含以下部分：</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一、谈判响应声明(格式)</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二、法定代表人（单位负责人）身份证明(格式)</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三、授权委托书(格式)</w:t>
      </w:r>
    </w:p>
    <w:p>
      <w:pPr>
        <w:widowControl/>
        <w:tabs>
          <w:tab w:val="left" w:pos="753"/>
        </w:tabs>
        <w:adjustRightInd w:val="0"/>
        <w:snapToGrid w:val="0"/>
        <w:spacing w:beforeLines="50" w:line="360" w:lineRule="auto"/>
        <w:ind w:firstLine="420" w:firstLineChars="200"/>
        <w:rPr>
          <w:rFonts w:ascii="宋体"/>
          <w:szCs w:val="21"/>
        </w:rPr>
      </w:pPr>
      <w:r>
        <w:rPr>
          <w:rFonts w:hint="eastAsia" w:ascii="宋体" w:hAnsi="宋体"/>
          <w:szCs w:val="21"/>
        </w:rPr>
        <w:t>四、保证金</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五、报价表及报价文件(格式)</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六、采购需求响应</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七、合同条款偏离表</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八、采购需求偏离表</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九、享受政府采购政策优惠的证明资料</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十、</w:t>
      </w:r>
      <w:r>
        <w:rPr>
          <w:rFonts w:hint="eastAsia" w:ascii="宋体" w:hAnsi="宋体"/>
          <w:kern w:val="32"/>
          <w:szCs w:val="21"/>
        </w:rPr>
        <w:t>关于资格的声明(格式)</w:t>
      </w:r>
    </w:p>
    <w:p>
      <w:pPr>
        <w:widowControl/>
        <w:tabs>
          <w:tab w:val="left" w:pos="753"/>
        </w:tabs>
        <w:adjustRightInd w:val="0"/>
        <w:snapToGrid w:val="0"/>
        <w:spacing w:beforeLines="50" w:line="360" w:lineRule="auto"/>
        <w:ind w:firstLine="420" w:firstLineChars="200"/>
        <w:rPr>
          <w:rFonts w:ascii="宋体" w:hAnsi="宋体"/>
          <w:kern w:val="32"/>
          <w:szCs w:val="21"/>
        </w:rPr>
      </w:pPr>
      <w:r>
        <w:rPr>
          <w:rFonts w:hint="eastAsia" w:ascii="宋体" w:hAnsi="宋体"/>
          <w:kern w:val="32"/>
          <w:szCs w:val="21"/>
        </w:rPr>
        <w:t>十一、</w:t>
      </w:r>
      <w:r>
        <w:rPr>
          <w:rFonts w:hint="eastAsia" w:ascii="宋体" w:hAnsi="宋体"/>
          <w:szCs w:val="21"/>
        </w:rPr>
        <w:t>响应标的符合谈判文件规定的证明文件</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十二、代理服务费承诺书</w:t>
      </w:r>
    </w:p>
    <w:p>
      <w:pPr>
        <w:widowControl/>
        <w:tabs>
          <w:tab w:val="left" w:pos="753"/>
        </w:tabs>
        <w:adjustRightInd w:val="0"/>
        <w:snapToGrid w:val="0"/>
        <w:spacing w:beforeLines="50" w:line="360" w:lineRule="auto"/>
        <w:ind w:firstLine="420" w:firstLineChars="200"/>
        <w:rPr>
          <w:rFonts w:ascii="宋体" w:hAnsi="宋体"/>
          <w:szCs w:val="21"/>
        </w:rPr>
      </w:pPr>
      <w:r>
        <w:rPr>
          <w:rFonts w:hint="eastAsia" w:ascii="宋体" w:hAnsi="宋体"/>
          <w:szCs w:val="21"/>
        </w:rPr>
        <w:t>十三、最终报价</w:t>
      </w:r>
    </w:p>
    <w:p>
      <w:pPr>
        <w:adjustRightInd w:val="0"/>
        <w:snapToGrid w:val="0"/>
        <w:spacing w:beforeLines="50" w:line="360" w:lineRule="auto"/>
        <w:rPr>
          <w:rFonts w:ascii="宋体"/>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spacing w:line="360" w:lineRule="exact"/>
        <w:jc w:val="center"/>
        <w:rPr>
          <w:rFonts w:ascii="黑体" w:eastAsia="黑体"/>
          <w:b/>
          <w:sz w:val="32"/>
          <w:szCs w:val="32"/>
        </w:rPr>
      </w:pPr>
    </w:p>
    <w:p>
      <w:pPr>
        <w:adjustRightInd w:val="0"/>
        <w:snapToGrid w:val="0"/>
        <w:spacing w:line="360" w:lineRule="auto"/>
        <w:jc w:val="center"/>
        <w:rPr>
          <w:rFonts w:ascii="黑体" w:eastAsia="黑体"/>
          <w:color w:val="000000"/>
          <w:sz w:val="32"/>
          <w:szCs w:val="32"/>
        </w:rPr>
      </w:pPr>
      <w:r>
        <w:br w:type="page"/>
      </w:r>
    </w:p>
    <w:p>
      <w:pPr>
        <w:adjustRightInd w:val="0"/>
        <w:snapToGrid w:val="0"/>
        <w:spacing w:line="360" w:lineRule="auto"/>
        <w:jc w:val="center"/>
        <w:rPr>
          <w:rFonts w:ascii="黑体" w:eastAsia="黑体"/>
          <w:color w:val="000000"/>
          <w:sz w:val="32"/>
          <w:szCs w:val="32"/>
        </w:rPr>
      </w:pPr>
    </w:p>
    <w:p>
      <w:pPr>
        <w:pStyle w:val="24"/>
        <w:adjustRightInd w:val="0"/>
        <w:snapToGrid w:val="0"/>
        <w:spacing w:line="360" w:lineRule="auto"/>
        <w:jc w:val="center"/>
        <w:rPr>
          <w:rFonts w:hAnsi="宋体"/>
          <w:b/>
          <w:bCs/>
          <w:sz w:val="72"/>
          <w:szCs w:val="72"/>
        </w:rPr>
      </w:pPr>
      <w:r>
        <w:rPr>
          <w:rFonts w:hint="eastAsia" w:hAnsi="宋体"/>
          <w:b/>
          <w:bCs/>
          <w:sz w:val="72"/>
          <w:szCs w:val="72"/>
        </w:rPr>
        <w:t>政府采购</w:t>
      </w:r>
    </w:p>
    <w:p>
      <w:pPr>
        <w:adjustRightInd w:val="0"/>
        <w:snapToGrid w:val="0"/>
        <w:spacing w:line="360" w:lineRule="auto"/>
        <w:jc w:val="center"/>
        <w:rPr>
          <w:rFonts w:ascii="宋体" w:hAnsi="宋体"/>
          <w:b/>
          <w:bCs/>
          <w:sz w:val="84"/>
          <w:szCs w:val="84"/>
        </w:rPr>
      </w:pPr>
      <w:r>
        <w:rPr>
          <w:rFonts w:hint="eastAsia" w:ascii="宋体" w:hAnsi="宋体"/>
          <w:b/>
          <w:bCs/>
          <w:sz w:val="84"/>
          <w:szCs w:val="84"/>
        </w:rPr>
        <w:t>响 应 文 件</w:t>
      </w:r>
    </w:p>
    <w:p>
      <w:pPr>
        <w:adjustRightInd w:val="0"/>
        <w:snapToGrid w:val="0"/>
        <w:spacing w:line="360" w:lineRule="auto"/>
        <w:rPr>
          <w:rFonts w:ascii="黑体" w:hAnsi="黑体" w:eastAsia="黑体"/>
          <w:b/>
          <w:color w:val="000000"/>
          <w:sz w:val="32"/>
          <w:szCs w:val="32"/>
        </w:rPr>
      </w:pPr>
    </w:p>
    <w:p>
      <w:pPr>
        <w:adjustRightInd w:val="0"/>
        <w:snapToGrid w:val="0"/>
        <w:spacing w:line="360" w:lineRule="auto"/>
        <w:rPr>
          <w:rFonts w:ascii="宋体" w:hAnsi="宋体"/>
          <w:b/>
          <w:color w:val="000000"/>
          <w:sz w:val="30"/>
          <w:szCs w:val="30"/>
        </w:rPr>
      </w:pPr>
    </w:p>
    <w:p>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采购项目名称:</w:t>
      </w:r>
    </w:p>
    <w:p>
      <w:pPr>
        <w:pStyle w:val="24"/>
        <w:adjustRightInd w:val="0"/>
        <w:snapToGrid w:val="0"/>
        <w:spacing w:line="360" w:lineRule="auto"/>
        <w:ind w:firstLine="1988" w:firstLineChars="660"/>
        <w:rPr>
          <w:rFonts w:hAnsi="宋体"/>
          <w:b/>
          <w:bCs/>
          <w:sz w:val="30"/>
          <w:szCs w:val="30"/>
        </w:rPr>
      </w:pPr>
      <w:r>
        <w:rPr>
          <w:rFonts w:hint="eastAsia" w:hAnsi="宋体"/>
          <w:b/>
          <w:bCs/>
          <w:sz w:val="30"/>
          <w:szCs w:val="30"/>
        </w:rPr>
        <w:t>采   购   人：</w:t>
      </w:r>
    </w:p>
    <w:p>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政府采购编号:</w:t>
      </w:r>
    </w:p>
    <w:p>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采购代理编号:</w:t>
      </w:r>
    </w:p>
    <w:p>
      <w:pPr>
        <w:pStyle w:val="24"/>
        <w:adjustRightInd w:val="0"/>
        <w:snapToGrid w:val="0"/>
        <w:spacing w:line="360" w:lineRule="auto"/>
        <w:ind w:firstLine="1988" w:firstLineChars="660"/>
        <w:rPr>
          <w:rFonts w:hAnsi="宋体"/>
          <w:b/>
          <w:bCs/>
          <w:sz w:val="30"/>
          <w:szCs w:val="30"/>
          <w:u w:val="single"/>
        </w:rPr>
      </w:pPr>
      <w:r>
        <w:rPr>
          <w:rFonts w:hint="eastAsia" w:hAnsi="宋体"/>
          <w:b/>
          <w:bCs/>
          <w:sz w:val="30"/>
          <w:szCs w:val="30"/>
        </w:rPr>
        <w:t>采购代理机构：</w:t>
      </w:r>
    </w:p>
    <w:p>
      <w:pPr>
        <w:adjustRightInd w:val="0"/>
        <w:snapToGrid w:val="0"/>
        <w:spacing w:line="360" w:lineRule="auto"/>
        <w:rPr>
          <w:rFonts w:ascii="黑体" w:hAnsi="黑体" w:eastAsia="黑体"/>
          <w:color w:val="000000"/>
          <w:sz w:val="30"/>
          <w:szCs w:val="30"/>
        </w:rPr>
      </w:pPr>
    </w:p>
    <w:p>
      <w:pPr>
        <w:adjustRightInd w:val="0"/>
        <w:snapToGrid w:val="0"/>
        <w:rPr>
          <w:rFonts w:ascii="黑体" w:hAnsi="宋体" w:eastAsia="黑体"/>
          <w:color w:val="000000"/>
          <w:sz w:val="30"/>
          <w:szCs w:val="30"/>
        </w:rPr>
      </w:pPr>
    </w:p>
    <w:p>
      <w:pPr>
        <w:adjustRightInd w:val="0"/>
        <w:snapToGrid w:val="0"/>
        <w:spacing w:line="360" w:lineRule="auto"/>
        <w:rPr>
          <w:rFonts w:ascii="黑体" w:hAnsi="宋体" w:eastAsia="黑体"/>
          <w:color w:val="000000"/>
          <w:sz w:val="30"/>
          <w:szCs w:val="30"/>
        </w:rPr>
      </w:pPr>
    </w:p>
    <w:p>
      <w:pPr>
        <w:adjustRightInd w:val="0"/>
        <w:snapToGrid w:val="0"/>
        <w:spacing w:line="360" w:lineRule="auto"/>
        <w:rPr>
          <w:rFonts w:ascii="黑体" w:hAnsi="宋体" w:eastAsia="黑体"/>
          <w:color w:val="000000"/>
          <w:sz w:val="30"/>
          <w:szCs w:val="30"/>
        </w:rPr>
      </w:pPr>
    </w:p>
    <w:p>
      <w:pPr>
        <w:adjustRightInd w:val="0"/>
        <w:snapToGrid w:val="0"/>
        <w:spacing w:line="360" w:lineRule="auto"/>
        <w:rPr>
          <w:rFonts w:ascii="黑体" w:hAnsi="宋体" w:eastAsia="黑体"/>
          <w:color w:val="000000"/>
          <w:sz w:val="30"/>
          <w:szCs w:val="30"/>
        </w:rPr>
      </w:pPr>
    </w:p>
    <w:p>
      <w:pPr>
        <w:adjustRightInd w:val="0"/>
        <w:snapToGrid w:val="0"/>
        <w:spacing w:line="360" w:lineRule="auto"/>
        <w:ind w:firstLine="1984" w:firstLineChars="620"/>
        <w:rPr>
          <w:rFonts w:ascii="黑体" w:hAnsi="黑体" w:eastAsia="黑体"/>
          <w:color w:val="000000"/>
          <w:sz w:val="32"/>
          <w:szCs w:val="32"/>
          <w:u w:val="single"/>
        </w:rPr>
      </w:pPr>
      <w:r>
        <w:rPr>
          <w:rFonts w:hint="eastAsia" w:ascii="黑体" w:hAnsi="黑体" w:eastAsia="黑体"/>
          <w:color w:val="000000"/>
          <w:sz w:val="32"/>
          <w:szCs w:val="32"/>
        </w:rPr>
        <w:t>供应商</w:t>
      </w:r>
    </w:p>
    <w:p>
      <w:pPr>
        <w:jc w:val="center"/>
        <w:rPr>
          <w:rFonts w:ascii="黑体" w:hAnsi="黑体" w:eastAsia="黑体"/>
          <w:sz w:val="32"/>
          <w:szCs w:val="32"/>
        </w:rPr>
      </w:pPr>
      <w:r>
        <w:rPr>
          <w:rFonts w:hint="eastAsia" w:ascii="黑体" w:hAnsi="黑体" w:eastAsia="黑体"/>
          <w:sz w:val="32"/>
          <w:szCs w:val="32"/>
        </w:rPr>
        <w:t>年  月  日</w:t>
      </w:r>
    </w:p>
    <w:p>
      <w:pPr>
        <w:pStyle w:val="6"/>
        <w:jc w:val="center"/>
        <w:rPr>
          <w:rFonts w:ascii="黑体" w:hAnsi="黑体" w:eastAsia="黑体"/>
          <w:color w:val="000000"/>
          <w:sz w:val="28"/>
          <w:szCs w:val="28"/>
        </w:rPr>
      </w:pPr>
      <w:r>
        <w:rPr>
          <w:rFonts w:hAnsi="宋体"/>
        </w:rPr>
        <w:br w:type="page"/>
      </w:r>
      <w:bookmarkStart w:id="58" w:name="_Toc31089"/>
      <w:r>
        <w:rPr>
          <w:rFonts w:hint="eastAsia" w:ascii="黑体" w:hAnsi="黑体" w:eastAsia="黑体"/>
          <w:color w:val="000000"/>
          <w:sz w:val="28"/>
          <w:szCs w:val="28"/>
        </w:rPr>
        <w:t>一、谈判响应声明(格式)</w:t>
      </w:r>
      <w:bookmarkEnd w:id="58"/>
    </w:p>
    <w:p>
      <w:pPr>
        <w:adjustRightInd w:val="0"/>
        <w:snapToGrid w:val="0"/>
        <w:spacing w:beforeLines="50" w:line="360" w:lineRule="auto"/>
        <w:rPr>
          <w:rFonts w:ascii="宋体" w:hAnsi="宋体"/>
          <w:color w:val="000000"/>
          <w:szCs w:val="21"/>
        </w:rPr>
      </w:pPr>
      <w:r>
        <w:rPr>
          <w:rFonts w:hint="eastAsia" w:ascii="宋体" w:hAnsi="宋体"/>
          <w:color w:val="000000"/>
          <w:szCs w:val="21"/>
        </w:rPr>
        <w:t>致 (采购人、采购代理机构)：</w:t>
      </w:r>
    </w:p>
    <w:p>
      <w:pPr>
        <w:adjustRightInd w:val="0"/>
        <w:snapToGrid w:val="0"/>
        <w:spacing w:beforeLines="50" w:line="360" w:lineRule="auto"/>
        <w:ind w:firstLine="435"/>
        <w:rPr>
          <w:rFonts w:ascii="宋体" w:hAnsi="宋体"/>
          <w:color w:val="000000"/>
          <w:szCs w:val="21"/>
        </w:rPr>
      </w:pPr>
      <w:r>
        <w:rPr>
          <w:rFonts w:hint="eastAsia" w:ascii="宋体" w:hAnsi="宋体"/>
          <w:color w:val="000000"/>
          <w:szCs w:val="21"/>
        </w:rPr>
        <w:t>根据贵方为（项目名称）的谈判邀请（</w:t>
      </w:r>
      <w:r>
        <w:rPr>
          <w:rFonts w:hint="eastAsia" w:ascii="宋体" w:hAnsi="宋体"/>
          <w:color w:val="000000"/>
        </w:rPr>
        <w:t>政府</w:t>
      </w:r>
      <w:r>
        <w:rPr>
          <w:rFonts w:hint="eastAsia" w:ascii="宋体" w:hAnsi="宋体"/>
          <w:iCs/>
          <w:color w:val="000000"/>
        </w:rPr>
        <w:t>采购编号： ，</w:t>
      </w:r>
      <w:r>
        <w:rPr>
          <w:rFonts w:hint="eastAsia" w:ascii="宋体" w:hAnsi="宋体"/>
          <w:color w:val="000000"/>
          <w:szCs w:val="21"/>
        </w:rPr>
        <w:t>采购代理编号：），签字代表 （姓名、职务）经正式授权并代表供应商 （供应商名称）提交响应文件正本一份,副本份；响应文件电子文档：二份，参加采购项目第包谈判，并在此声明，所递交的响应文件内容完整、真实。</w:t>
      </w:r>
    </w:p>
    <w:p>
      <w:pPr>
        <w:pStyle w:val="24"/>
        <w:adjustRightInd w:val="0"/>
        <w:snapToGrid w:val="0"/>
        <w:spacing w:beforeLines="50" w:line="360" w:lineRule="auto"/>
        <w:ind w:firstLine="420" w:firstLineChars="200"/>
        <w:rPr>
          <w:rFonts w:hAnsi="宋体"/>
          <w:color w:val="000000"/>
        </w:rPr>
      </w:pPr>
      <w:r>
        <w:rPr>
          <w:rFonts w:hint="eastAsia" w:hAnsi="宋体"/>
          <w:color w:val="000000"/>
        </w:rPr>
        <w:t>一、我方已详细审查谈判文件。我们完全理解并同意放弃对这方面有不明及误解的权力。</w:t>
      </w:r>
    </w:p>
    <w:p>
      <w:pPr>
        <w:pStyle w:val="24"/>
        <w:adjustRightInd w:val="0"/>
        <w:snapToGrid w:val="0"/>
        <w:spacing w:beforeLines="50" w:line="360" w:lineRule="auto"/>
        <w:ind w:firstLine="420" w:firstLineChars="200"/>
        <w:rPr>
          <w:rFonts w:hAnsi="宋体"/>
          <w:bCs/>
          <w:color w:val="000000"/>
        </w:rPr>
      </w:pPr>
      <w:r>
        <w:rPr>
          <w:rFonts w:hint="eastAsia" w:hAnsi="宋体"/>
          <w:color w:val="000000"/>
        </w:rPr>
        <w:t>二、我方愿意向贵方提供任何与本项采购有关的数据、情况和技术资料。若贵方需要，我方愿意提供我方作出的一切承诺的证明材料。</w:t>
      </w:r>
    </w:p>
    <w:p>
      <w:pPr>
        <w:pStyle w:val="24"/>
        <w:adjustRightInd w:val="0"/>
        <w:snapToGrid w:val="0"/>
        <w:spacing w:beforeLines="50" w:line="360" w:lineRule="auto"/>
        <w:ind w:firstLine="420" w:firstLineChars="200"/>
        <w:rPr>
          <w:rFonts w:hAnsi="宋体"/>
          <w:color w:val="000000"/>
        </w:rPr>
      </w:pPr>
      <w:r>
        <w:rPr>
          <w:rFonts w:hint="eastAsia" w:hAnsi="宋体"/>
          <w:color w:val="000000"/>
        </w:rPr>
        <w:t>三、我方愿意按谈判文件规定和谈判小组要求重新提交响应文件和最后报价。</w:t>
      </w:r>
    </w:p>
    <w:p>
      <w:pPr>
        <w:pStyle w:val="24"/>
        <w:adjustRightInd w:val="0"/>
        <w:snapToGrid w:val="0"/>
        <w:spacing w:beforeLines="50" w:line="360" w:lineRule="auto"/>
        <w:ind w:firstLine="420" w:firstLineChars="200"/>
        <w:rPr>
          <w:rFonts w:hAnsi="宋体"/>
          <w:color w:val="000000"/>
        </w:rPr>
      </w:pPr>
      <w:r>
        <w:rPr>
          <w:rFonts w:hint="eastAsia" w:hAnsi="宋体"/>
          <w:color w:val="000000"/>
        </w:rPr>
        <w:t>四、我方同意在谈判文件中规定的提交首次响应文件截止时间起日内(响应文件有效期)遵守本响应文件中的承诺且在此期限期满之前均具有法律约束力。</w:t>
      </w:r>
    </w:p>
    <w:p>
      <w:pPr>
        <w:pStyle w:val="24"/>
        <w:adjustRightInd w:val="0"/>
        <w:snapToGrid w:val="0"/>
        <w:spacing w:beforeLines="50" w:line="360" w:lineRule="auto"/>
        <w:ind w:firstLine="420" w:firstLineChars="200"/>
        <w:rPr>
          <w:rFonts w:hAnsi="宋体"/>
          <w:color w:val="000000"/>
        </w:rPr>
      </w:pPr>
      <w:r>
        <w:rPr>
          <w:rFonts w:hint="eastAsia" w:hAnsi="宋体"/>
          <w:color w:val="000000"/>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pPr>
        <w:pStyle w:val="24"/>
        <w:adjustRightInd w:val="0"/>
        <w:snapToGrid w:val="0"/>
        <w:spacing w:beforeLines="50" w:line="360" w:lineRule="auto"/>
        <w:ind w:firstLine="420" w:firstLineChars="200"/>
        <w:rPr>
          <w:rFonts w:hAnsi="宋体"/>
          <w:color w:val="000000"/>
        </w:rPr>
      </w:pPr>
      <w:r>
        <w:rPr>
          <w:rFonts w:hint="eastAsia" w:hAnsi="宋体"/>
          <w:color w:val="000000"/>
        </w:rPr>
        <w:t>六、我方承诺在参与竞争性谈判过程中，若出现《政府采购法》第七十七条、《政府采购法实施条例》第七十二条和《政府采购非招标方式管理办法》第五十四条规定之情形，我方同意接受条款规定作出的处罚。</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七、我方的联系方式：</w:t>
      </w:r>
    </w:p>
    <w:p>
      <w:pPr>
        <w:adjustRightInd w:val="0"/>
        <w:snapToGrid w:val="0"/>
        <w:spacing w:beforeLines="50" w:line="360" w:lineRule="auto"/>
        <w:ind w:firstLine="420" w:firstLineChars="200"/>
        <w:rPr>
          <w:rFonts w:ascii="宋体" w:hAnsi="宋体"/>
          <w:color w:val="000000"/>
          <w:szCs w:val="21"/>
        </w:rPr>
      </w:pPr>
      <w:r>
        <w:rPr>
          <w:rFonts w:hint="eastAsia" w:ascii="宋体" w:hAnsi="宋体"/>
          <w:color w:val="000000"/>
          <w:szCs w:val="21"/>
        </w:rPr>
        <w:t>地址：；邮编： ；电话：；电子邮箱： 。</w:t>
      </w:r>
    </w:p>
    <w:p>
      <w:pPr>
        <w:pStyle w:val="24"/>
        <w:adjustRightInd w:val="0"/>
        <w:snapToGrid w:val="0"/>
        <w:spacing w:beforeLines="50" w:line="360" w:lineRule="auto"/>
        <w:rPr>
          <w:rFonts w:hAnsi="宋体"/>
          <w:color w:val="000000"/>
        </w:rPr>
      </w:pPr>
    </w:p>
    <w:p>
      <w:pPr>
        <w:pStyle w:val="24"/>
        <w:adjustRightInd w:val="0"/>
        <w:snapToGrid w:val="0"/>
        <w:spacing w:beforeLines="50" w:line="360" w:lineRule="auto"/>
        <w:rPr>
          <w:rFonts w:hAnsi="宋体"/>
          <w:color w:val="000000"/>
        </w:rPr>
      </w:pPr>
      <w:r>
        <w:rPr>
          <w:rFonts w:hint="eastAsia" w:hAnsi="宋体"/>
          <w:color w:val="000000"/>
        </w:rPr>
        <w:t>供应商名称(盖单位公章)：</w:t>
      </w:r>
    </w:p>
    <w:p>
      <w:pPr>
        <w:adjustRightInd w:val="0"/>
        <w:snapToGrid w:val="0"/>
        <w:spacing w:beforeLines="50" w:line="360" w:lineRule="auto"/>
        <w:rPr>
          <w:rFonts w:ascii="宋体" w:hAnsi="宋体"/>
          <w:color w:val="000000"/>
          <w:szCs w:val="21"/>
          <w:u w:val="single"/>
        </w:rPr>
      </w:pPr>
      <w:r>
        <w:rPr>
          <w:rFonts w:hint="eastAsia" w:ascii="宋体" w:hAnsi="宋体"/>
          <w:color w:val="000000"/>
          <w:szCs w:val="21"/>
        </w:rPr>
        <w:t>法定代表人（单位负责人）（签字或印章）或其授权的代理人（签字）：</w:t>
      </w:r>
    </w:p>
    <w:p>
      <w:pPr>
        <w:adjustRightInd w:val="0"/>
        <w:snapToGrid w:val="0"/>
        <w:spacing w:beforeLines="50" w:line="360" w:lineRule="auto"/>
        <w:rPr>
          <w:rFonts w:ascii="宋体" w:hAnsi="宋体"/>
          <w:color w:val="000000"/>
          <w:szCs w:val="21"/>
        </w:rPr>
      </w:pPr>
      <w:r>
        <w:rPr>
          <w:rFonts w:hint="eastAsia" w:ascii="宋体" w:hAnsi="宋体"/>
          <w:color w:val="000000"/>
          <w:szCs w:val="21"/>
        </w:rPr>
        <w:t>日期：年月日</w:t>
      </w:r>
    </w:p>
    <w:p>
      <w:pPr>
        <w:pStyle w:val="6"/>
        <w:jc w:val="center"/>
        <w:rPr>
          <w:rFonts w:ascii="黑体" w:hAnsi="黑体" w:eastAsia="黑体"/>
          <w:color w:val="000000"/>
          <w:sz w:val="28"/>
          <w:szCs w:val="28"/>
        </w:rPr>
      </w:pPr>
      <w:r>
        <w:rPr>
          <w:rFonts w:ascii="宋体" w:hAnsi="宋体"/>
          <w:color w:val="000000"/>
          <w:szCs w:val="21"/>
        </w:rPr>
        <w:br w:type="page"/>
      </w:r>
      <w:bookmarkStart w:id="59" w:name="_Toc24075"/>
      <w:r>
        <w:rPr>
          <w:rFonts w:hint="eastAsia" w:ascii="黑体" w:hAnsi="黑体" w:eastAsia="黑体"/>
          <w:color w:val="000000"/>
          <w:sz w:val="28"/>
          <w:szCs w:val="28"/>
        </w:rPr>
        <w:t>二、法定代表人（单位负责人）身份证明(格式)</w:t>
      </w:r>
      <w:bookmarkEnd w:id="59"/>
    </w:p>
    <w:p>
      <w:pPr>
        <w:tabs>
          <w:tab w:val="left" w:pos="3880"/>
        </w:tabs>
        <w:autoSpaceDE w:val="0"/>
        <w:autoSpaceDN w:val="0"/>
        <w:adjustRightInd w:val="0"/>
        <w:snapToGrid w:val="0"/>
        <w:spacing w:beforeLines="50" w:line="360" w:lineRule="auto"/>
        <w:ind w:left="100" w:right="-20"/>
        <w:jc w:val="left"/>
        <w:rPr>
          <w:rFonts w:ascii="宋体" w:hAnsi="宋体" w:cs="微软雅黑"/>
          <w:color w:val="000000"/>
          <w:kern w:val="0"/>
          <w:position w:val="-4"/>
          <w:szCs w:val="21"/>
        </w:rPr>
      </w:pPr>
    </w:p>
    <w:p>
      <w:pPr>
        <w:tabs>
          <w:tab w:val="left" w:pos="3880"/>
        </w:tabs>
        <w:autoSpaceDE w:val="0"/>
        <w:autoSpaceDN w:val="0"/>
        <w:adjustRightInd w:val="0"/>
        <w:snapToGrid w:val="0"/>
        <w:spacing w:beforeLines="50" w:line="360" w:lineRule="auto"/>
        <w:ind w:left="100" w:right="-20"/>
        <w:jc w:val="left"/>
        <w:rPr>
          <w:rFonts w:ascii="宋体" w:hAnsi="宋体" w:cs="微软雅黑"/>
          <w:color w:val="000000"/>
          <w:kern w:val="0"/>
          <w:szCs w:val="21"/>
        </w:rPr>
      </w:pPr>
      <w:r>
        <w:rPr>
          <w:rFonts w:hint="eastAsia" w:ascii="宋体" w:hAnsi="宋体" w:cs="微软雅黑"/>
          <w:color w:val="000000"/>
          <w:kern w:val="0"/>
          <w:position w:val="-4"/>
          <w:szCs w:val="21"/>
        </w:rPr>
        <w:t>供应商名</w:t>
      </w:r>
      <w:r>
        <w:rPr>
          <w:rFonts w:hint="eastAsia" w:ascii="宋体" w:hAnsi="宋体" w:cs="微软雅黑"/>
          <w:color w:val="000000"/>
          <w:spacing w:val="-2"/>
          <w:kern w:val="0"/>
          <w:position w:val="-4"/>
          <w:szCs w:val="21"/>
        </w:rPr>
        <w:t>称</w:t>
      </w:r>
      <w:r>
        <w:rPr>
          <w:rFonts w:hint="eastAsia" w:ascii="宋体" w:hAnsi="宋体" w:cs="微软雅黑"/>
          <w:color w:val="000000"/>
          <w:kern w:val="0"/>
          <w:position w:val="-4"/>
          <w:szCs w:val="21"/>
        </w:rPr>
        <w:t>：</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统一社会信用代码：</w:t>
      </w:r>
    </w:p>
    <w:p>
      <w:pPr>
        <w:tabs>
          <w:tab w:val="left" w:pos="2400"/>
          <w:tab w:val="left" w:pos="3880"/>
          <w:tab w:val="left" w:pos="5340"/>
          <w:tab w:val="left" w:pos="6820"/>
        </w:tabs>
        <w:autoSpaceDE w:val="0"/>
        <w:autoSpaceDN w:val="0"/>
        <w:adjustRightInd w:val="0"/>
        <w:snapToGrid w:val="0"/>
        <w:spacing w:beforeLines="50" w:line="360" w:lineRule="auto"/>
        <w:ind w:left="100" w:right="-20"/>
        <w:jc w:val="left"/>
        <w:rPr>
          <w:rFonts w:ascii="宋体" w:hAnsi="宋体" w:cs="微软雅黑"/>
          <w:color w:val="000000"/>
          <w:kern w:val="0"/>
          <w:position w:val="-2"/>
          <w:szCs w:val="21"/>
        </w:rPr>
      </w:pPr>
      <w:r>
        <w:rPr>
          <w:rFonts w:hint="eastAsia" w:ascii="宋体" w:hAnsi="宋体" w:cs="微软雅黑"/>
          <w:color w:val="000000"/>
          <w:kern w:val="0"/>
          <w:position w:val="-2"/>
          <w:szCs w:val="21"/>
        </w:rPr>
        <w:t>注册地址：</w:t>
      </w:r>
    </w:p>
    <w:p>
      <w:pPr>
        <w:tabs>
          <w:tab w:val="left" w:pos="2400"/>
          <w:tab w:val="left" w:pos="3880"/>
          <w:tab w:val="left" w:pos="5340"/>
          <w:tab w:val="left" w:pos="6820"/>
        </w:tabs>
        <w:autoSpaceDE w:val="0"/>
        <w:autoSpaceDN w:val="0"/>
        <w:adjustRightInd w:val="0"/>
        <w:snapToGrid w:val="0"/>
        <w:spacing w:beforeLines="50" w:line="360" w:lineRule="auto"/>
        <w:ind w:left="102" w:right="-23" w:firstLine="420" w:firstLineChars="200"/>
        <w:jc w:val="left"/>
        <w:rPr>
          <w:rFonts w:ascii="宋体" w:hAnsi="宋体" w:cs="微软雅黑"/>
          <w:color w:val="000000"/>
          <w:kern w:val="0"/>
          <w:szCs w:val="21"/>
        </w:rPr>
      </w:pPr>
      <w:r>
        <w:rPr>
          <w:rFonts w:hint="eastAsia" w:ascii="宋体" w:hAnsi="宋体" w:cs="微软雅黑"/>
          <w:color w:val="000000"/>
          <w:kern w:val="0"/>
          <w:position w:val="-2"/>
          <w:szCs w:val="21"/>
        </w:rPr>
        <w:t>姓名</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性别</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年</w:t>
      </w:r>
      <w:r>
        <w:rPr>
          <w:rFonts w:hint="eastAsia" w:ascii="宋体" w:hAnsi="宋体" w:cs="微软雅黑"/>
          <w:color w:val="000000"/>
          <w:spacing w:val="-2"/>
          <w:kern w:val="0"/>
          <w:position w:val="-2"/>
          <w:szCs w:val="21"/>
        </w:rPr>
        <w:t>龄</w:t>
      </w:r>
      <w:r>
        <w:rPr>
          <w:rFonts w:hint="eastAsia" w:ascii="宋体" w:hAnsi="宋体" w:cs="微软雅黑"/>
          <w:color w:val="000000"/>
          <w:kern w:val="0"/>
          <w:position w:val="-2"/>
          <w:szCs w:val="21"/>
        </w:rPr>
        <w:t>：职</w:t>
      </w:r>
      <w:r>
        <w:rPr>
          <w:rFonts w:hint="eastAsia" w:ascii="宋体" w:hAnsi="宋体" w:cs="微软雅黑"/>
          <w:color w:val="000000"/>
          <w:spacing w:val="-2"/>
          <w:kern w:val="0"/>
          <w:position w:val="-2"/>
          <w:szCs w:val="21"/>
        </w:rPr>
        <w:t>务</w:t>
      </w:r>
      <w:r>
        <w:rPr>
          <w:rFonts w:hint="eastAsia" w:ascii="宋体" w:hAnsi="宋体" w:cs="微软雅黑"/>
          <w:color w:val="000000"/>
          <w:kern w:val="0"/>
          <w:position w:val="-2"/>
          <w:szCs w:val="21"/>
        </w:rPr>
        <w:t>：系</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供应商</w:t>
      </w:r>
      <w:r>
        <w:rPr>
          <w:rFonts w:hint="eastAsia" w:ascii="宋体" w:hAnsi="宋体" w:cs="微软雅黑"/>
          <w:color w:val="000000"/>
          <w:spacing w:val="-2"/>
          <w:kern w:val="0"/>
          <w:position w:val="-2"/>
          <w:szCs w:val="21"/>
        </w:rPr>
        <w:t>名</w:t>
      </w:r>
      <w:r>
        <w:rPr>
          <w:rFonts w:hint="eastAsia" w:ascii="宋体" w:hAnsi="宋体" w:cs="微软雅黑"/>
          <w:color w:val="000000"/>
          <w:kern w:val="0"/>
          <w:position w:val="-2"/>
          <w:szCs w:val="21"/>
        </w:rPr>
        <w:t>称</w:t>
      </w:r>
      <w:r>
        <w:rPr>
          <w:rFonts w:hint="eastAsia" w:ascii="宋体" w:hAnsi="宋体" w:cs="微软雅黑"/>
          <w:color w:val="000000"/>
          <w:spacing w:val="-2"/>
          <w:kern w:val="0"/>
          <w:position w:val="-2"/>
          <w:szCs w:val="21"/>
        </w:rPr>
        <w:t>）</w:t>
      </w:r>
      <w:r>
        <w:rPr>
          <w:rFonts w:hint="eastAsia" w:ascii="宋体" w:hAnsi="宋体" w:cs="微软雅黑"/>
          <w:color w:val="000000"/>
          <w:kern w:val="0"/>
          <w:position w:val="-2"/>
          <w:szCs w:val="21"/>
        </w:rPr>
        <w:t>的</w:t>
      </w:r>
      <w:r>
        <w:rPr>
          <w:rFonts w:hint="eastAsia" w:ascii="宋体" w:hAnsi="宋体" w:cs="微软雅黑"/>
          <w:color w:val="000000"/>
          <w:spacing w:val="-2"/>
          <w:kern w:val="0"/>
          <w:position w:val="-2"/>
          <w:szCs w:val="21"/>
        </w:rPr>
        <w:t>法定</w:t>
      </w:r>
      <w:r>
        <w:rPr>
          <w:rFonts w:hint="eastAsia" w:ascii="宋体" w:hAnsi="宋体" w:cs="微软雅黑"/>
          <w:color w:val="000000"/>
          <w:kern w:val="0"/>
          <w:position w:val="-2"/>
          <w:szCs w:val="21"/>
        </w:rPr>
        <w:t>代表</w:t>
      </w:r>
      <w:r>
        <w:rPr>
          <w:rFonts w:hint="eastAsia" w:ascii="宋体" w:hAnsi="宋体" w:cs="微软雅黑"/>
          <w:color w:val="000000"/>
          <w:spacing w:val="-2"/>
          <w:kern w:val="0"/>
          <w:position w:val="-2"/>
          <w:szCs w:val="21"/>
        </w:rPr>
        <w:t>人</w:t>
      </w:r>
      <w:r>
        <w:rPr>
          <w:rFonts w:hint="eastAsia" w:ascii="宋体" w:hAnsi="宋体" w:cs="微软雅黑"/>
          <w:color w:val="000000"/>
          <w:kern w:val="0"/>
          <w:position w:val="-2"/>
          <w:szCs w:val="21"/>
        </w:rPr>
        <w:t>（</w:t>
      </w:r>
      <w:r>
        <w:rPr>
          <w:rFonts w:hint="eastAsia" w:ascii="宋体" w:hAnsi="宋体" w:cs="微软雅黑"/>
          <w:color w:val="000000"/>
          <w:spacing w:val="-2"/>
          <w:kern w:val="0"/>
          <w:position w:val="-2"/>
          <w:szCs w:val="21"/>
        </w:rPr>
        <w:t>单</w:t>
      </w:r>
      <w:r>
        <w:rPr>
          <w:rFonts w:hint="eastAsia" w:ascii="宋体" w:hAnsi="宋体" w:cs="微软雅黑"/>
          <w:color w:val="000000"/>
          <w:kern w:val="0"/>
          <w:position w:val="-2"/>
          <w:szCs w:val="21"/>
        </w:rPr>
        <w:t>位</w:t>
      </w:r>
      <w:r>
        <w:rPr>
          <w:rFonts w:hint="eastAsia" w:ascii="宋体" w:hAnsi="宋体" w:cs="微软雅黑"/>
          <w:color w:val="000000"/>
          <w:spacing w:val="-2"/>
          <w:kern w:val="0"/>
          <w:position w:val="-2"/>
          <w:szCs w:val="21"/>
        </w:rPr>
        <w:t>负</w:t>
      </w:r>
      <w:r>
        <w:rPr>
          <w:rFonts w:hint="eastAsia" w:ascii="宋体" w:hAnsi="宋体" w:cs="微软雅黑"/>
          <w:color w:val="000000"/>
          <w:kern w:val="0"/>
          <w:position w:val="-2"/>
          <w:szCs w:val="21"/>
        </w:rPr>
        <w:t>责</w:t>
      </w:r>
      <w:r>
        <w:rPr>
          <w:rFonts w:hint="eastAsia" w:ascii="宋体" w:hAnsi="宋体" w:cs="微软雅黑"/>
          <w:color w:val="000000"/>
          <w:spacing w:val="-2"/>
          <w:kern w:val="0"/>
          <w:position w:val="-2"/>
          <w:szCs w:val="21"/>
        </w:rPr>
        <w:t>人</w:t>
      </w:r>
      <w:r>
        <w:rPr>
          <w:rFonts w:hint="eastAsia" w:ascii="宋体" w:hAnsi="宋体" w:cs="微软雅黑"/>
          <w:color w:val="000000"/>
          <w:spacing w:val="-106"/>
          <w:kern w:val="0"/>
          <w:position w:val="-2"/>
          <w:szCs w:val="21"/>
        </w:rPr>
        <w:t>）</w:t>
      </w:r>
      <w:r>
        <w:rPr>
          <w:rFonts w:hint="eastAsia" w:ascii="宋体" w:hAnsi="宋体" w:cs="微软雅黑"/>
          <w:color w:val="000000"/>
          <w:kern w:val="0"/>
          <w:position w:val="-2"/>
          <w:szCs w:val="21"/>
        </w:rPr>
        <w:t>。</w:t>
      </w:r>
    </w:p>
    <w:p>
      <w:pPr>
        <w:autoSpaceDE w:val="0"/>
        <w:autoSpaceDN w:val="0"/>
        <w:adjustRightInd w:val="0"/>
        <w:snapToGrid w:val="0"/>
        <w:spacing w:beforeLines="50" w:line="360" w:lineRule="auto"/>
        <w:ind w:left="520" w:right="-20"/>
        <w:jc w:val="left"/>
        <w:rPr>
          <w:rFonts w:ascii="宋体" w:hAnsi="宋体" w:cs="微软雅黑"/>
          <w:color w:val="000000"/>
          <w:kern w:val="0"/>
          <w:szCs w:val="21"/>
        </w:rPr>
      </w:pPr>
      <w:r>
        <w:rPr>
          <w:rFonts w:hint="eastAsia" w:ascii="宋体" w:hAnsi="宋体" w:cs="微软雅黑"/>
          <w:color w:val="000000"/>
          <w:kern w:val="0"/>
          <w:szCs w:val="21"/>
        </w:rPr>
        <w:t>特此</w:t>
      </w:r>
      <w:r>
        <w:rPr>
          <w:rFonts w:hint="eastAsia" w:ascii="宋体" w:hAnsi="宋体" w:cs="微软雅黑"/>
          <w:color w:val="000000"/>
          <w:spacing w:val="-2"/>
          <w:kern w:val="0"/>
          <w:szCs w:val="21"/>
        </w:rPr>
        <w:t>证</w:t>
      </w:r>
      <w:r>
        <w:rPr>
          <w:rFonts w:hint="eastAsia" w:ascii="宋体" w:hAnsi="宋体" w:cs="微软雅黑"/>
          <w:color w:val="000000"/>
          <w:kern w:val="0"/>
          <w:szCs w:val="21"/>
        </w:rPr>
        <w:t>明。</w:t>
      </w:r>
    </w:p>
    <w:p>
      <w:pPr>
        <w:autoSpaceDE w:val="0"/>
        <w:autoSpaceDN w:val="0"/>
        <w:adjustRightInd w:val="0"/>
        <w:snapToGrid w:val="0"/>
        <w:spacing w:beforeLines="50" w:line="360" w:lineRule="auto"/>
        <w:ind w:left="100" w:right="4231"/>
        <w:jc w:val="left"/>
        <w:rPr>
          <w:rFonts w:ascii="宋体" w:hAnsi="宋体" w:cs="微软雅黑"/>
          <w:color w:val="000000"/>
          <w:kern w:val="0"/>
          <w:szCs w:val="21"/>
        </w:rPr>
      </w:pPr>
      <w:r>
        <w:rPr>
          <w:rFonts w:hint="eastAsia" w:ascii="宋体" w:hAnsi="宋体" w:cs="微软雅黑"/>
          <w:color w:val="000000"/>
          <w:kern w:val="0"/>
          <w:szCs w:val="21"/>
        </w:rPr>
        <w:t>附：</w:t>
      </w:r>
      <w:r>
        <w:rPr>
          <w:rFonts w:hint="eastAsia" w:ascii="宋体" w:hAnsi="宋体" w:cs="微软雅黑"/>
          <w:color w:val="000000"/>
          <w:spacing w:val="-2"/>
          <w:kern w:val="0"/>
          <w:szCs w:val="21"/>
        </w:rPr>
        <w:t>法</w:t>
      </w:r>
      <w:r>
        <w:rPr>
          <w:rFonts w:hint="eastAsia" w:ascii="宋体" w:hAnsi="宋体" w:cs="微软雅黑"/>
          <w:color w:val="000000"/>
          <w:kern w:val="0"/>
          <w:szCs w:val="21"/>
        </w:rPr>
        <w:t>定</w:t>
      </w:r>
      <w:r>
        <w:rPr>
          <w:rFonts w:hint="eastAsia" w:ascii="宋体" w:hAnsi="宋体" w:cs="微软雅黑"/>
          <w:color w:val="000000"/>
          <w:spacing w:val="-2"/>
          <w:kern w:val="0"/>
          <w:szCs w:val="21"/>
        </w:rPr>
        <w:t>代</w:t>
      </w:r>
      <w:r>
        <w:rPr>
          <w:rFonts w:hint="eastAsia" w:ascii="宋体" w:hAnsi="宋体" w:cs="微软雅黑"/>
          <w:color w:val="000000"/>
          <w:kern w:val="0"/>
          <w:szCs w:val="21"/>
        </w:rPr>
        <w:t>表</w:t>
      </w:r>
      <w:r>
        <w:rPr>
          <w:rFonts w:hint="eastAsia" w:ascii="宋体" w:hAnsi="宋体" w:cs="微软雅黑"/>
          <w:color w:val="000000"/>
          <w:spacing w:val="-2"/>
          <w:kern w:val="0"/>
          <w:szCs w:val="21"/>
        </w:rPr>
        <w:t>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微软雅黑"/>
          <w:color w:val="000000"/>
          <w:kern w:val="0"/>
          <w:szCs w:val="21"/>
        </w:rPr>
        <w:t>身</w:t>
      </w:r>
      <w:r>
        <w:rPr>
          <w:rFonts w:hint="eastAsia" w:ascii="宋体" w:hAnsi="宋体" w:cs="微软雅黑"/>
          <w:color w:val="000000"/>
          <w:spacing w:val="-2"/>
          <w:kern w:val="0"/>
          <w:szCs w:val="21"/>
        </w:rPr>
        <w:t>份</w:t>
      </w:r>
      <w:r>
        <w:rPr>
          <w:rFonts w:hint="eastAsia" w:ascii="宋体" w:hAnsi="宋体" w:cs="微软雅黑"/>
          <w:color w:val="000000"/>
          <w:kern w:val="0"/>
          <w:szCs w:val="21"/>
        </w:rPr>
        <w:t>证</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r>
        <w:rPr>
          <w:rFonts w:hint="eastAsia" w:ascii="宋体" w:hAnsi="宋体" w:cs="微软雅黑"/>
          <w:color w:val="000000"/>
          <w:kern w:val="0"/>
          <w:szCs w:val="21"/>
        </w:rPr>
        <w:t>。</w:t>
      </w:r>
    </w:p>
    <w:tbl>
      <w:tblPr>
        <w:tblStyle w:val="43"/>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pPr>
        <w:adjustRightInd w:val="0"/>
        <w:snapToGrid w:val="0"/>
        <w:spacing w:beforeLines="50" w:line="360" w:lineRule="auto"/>
        <w:rPr>
          <w:rFonts w:ascii="宋体" w:hAnsi="宋体"/>
          <w:color w:val="000000"/>
          <w:szCs w:val="21"/>
        </w:rPr>
      </w:pPr>
    </w:p>
    <w:p>
      <w:pPr>
        <w:adjustRightInd w:val="0"/>
        <w:snapToGrid w:val="0"/>
        <w:spacing w:beforeLines="50" w:line="360" w:lineRule="auto"/>
        <w:rPr>
          <w:rFonts w:ascii="宋体" w:hAnsi="宋体"/>
          <w:color w:val="000000"/>
          <w:szCs w:val="21"/>
        </w:rPr>
      </w:pPr>
      <w:r>
        <w:rPr>
          <w:rFonts w:hint="eastAsia" w:ascii="宋体" w:hAnsi="宋体"/>
          <w:color w:val="000000"/>
          <w:szCs w:val="21"/>
        </w:rPr>
        <w:t>注：供应商代表为法定代表人（单位负责人）的提供。供应商为自然人的无需提供。</w:t>
      </w:r>
    </w:p>
    <w:p>
      <w:pPr>
        <w:adjustRightInd w:val="0"/>
        <w:snapToGrid w:val="0"/>
        <w:spacing w:beforeLines="50" w:line="360" w:lineRule="auto"/>
        <w:rPr>
          <w:rFonts w:ascii="宋体" w:hAnsi="宋体"/>
          <w:color w:val="000000"/>
          <w:szCs w:val="21"/>
        </w:rPr>
      </w:pPr>
    </w:p>
    <w:p>
      <w:pPr>
        <w:pStyle w:val="24"/>
        <w:adjustRightInd w:val="0"/>
        <w:snapToGrid w:val="0"/>
        <w:spacing w:beforeLines="50" w:line="360" w:lineRule="auto"/>
        <w:rPr>
          <w:rFonts w:hAnsi="宋体"/>
          <w:color w:val="000000"/>
        </w:rPr>
      </w:pPr>
      <w:r>
        <w:rPr>
          <w:rFonts w:hint="eastAsia" w:hAnsi="宋体"/>
          <w:color w:val="000000"/>
        </w:rPr>
        <w:t>供应商名称(盖单位公章)：</w:t>
      </w:r>
    </w:p>
    <w:p>
      <w:pPr>
        <w:adjustRightInd w:val="0"/>
        <w:snapToGrid w:val="0"/>
        <w:spacing w:beforeLines="50" w:line="360" w:lineRule="auto"/>
        <w:ind w:right="24"/>
        <w:rPr>
          <w:rFonts w:ascii="仿宋_GB2312" w:hAnsi="宋体" w:eastAsia="仿宋_GB2312"/>
          <w:color w:val="000000"/>
          <w:szCs w:val="21"/>
        </w:rPr>
      </w:pPr>
      <w:r>
        <w:rPr>
          <w:rFonts w:hint="eastAsia" w:ascii="宋体" w:hAnsi="宋体"/>
          <w:color w:val="000000"/>
          <w:szCs w:val="21"/>
        </w:rPr>
        <w:t>日期：年月日</w:t>
      </w:r>
    </w:p>
    <w:p>
      <w:pPr>
        <w:pStyle w:val="6"/>
        <w:jc w:val="center"/>
        <w:rPr>
          <w:rFonts w:ascii="黑体" w:hAnsi="黑体" w:eastAsia="黑体"/>
          <w:color w:val="000000"/>
          <w:sz w:val="28"/>
          <w:szCs w:val="28"/>
        </w:rPr>
      </w:pPr>
      <w:r>
        <w:rPr>
          <w:color w:val="000000"/>
        </w:rPr>
        <w:br w:type="page"/>
      </w:r>
      <w:bookmarkStart w:id="60" w:name="_Toc28268"/>
      <w:r>
        <w:rPr>
          <w:rFonts w:hint="eastAsia" w:ascii="黑体" w:hAnsi="黑体" w:eastAsia="黑体"/>
          <w:color w:val="000000"/>
          <w:sz w:val="28"/>
          <w:szCs w:val="28"/>
        </w:rPr>
        <w:t>三、授权委托书(格式)</w:t>
      </w:r>
      <w:bookmarkEnd w:id="60"/>
    </w:p>
    <w:p>
      <w:pPr>
        <w:autoSpaceDE w:val="0"/>
        <w:autoSpaceDN w:val="0"/>
        <w:adjustRightInd w:val="0"/>
        <w:snapToGrid w:val="0"/>
        <w:spacing w:beforeLines="50" w:line="360" w:lineRule="auto"/>
        <w:ind w:firstLine="420" w:firstLineChars="200"/>
        <w:jc w:val="left"/>
        <w:rPr>
          <w:rFonts w:ascii="宋体" w:hAnsi="宋体" w:cs="宋体"/>
          <w:color w:val="000000"/>
          <w:kern w:val="0"/>
          <w:szCs w:val="21"/>
        </w:rPr>
      </w:pPr>
    </w:p>
    <w:p>
      <w:pPr>
        <w:autoSpaceDE w:val="0"/>
        <w:autoSpaceDN w:val="0"/>
        <w:adjustRightInd w:val="0"/>
        <w:snapToGrid w:val="0"/>
        <w:spacing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本人（姓名、职务）系 （</w:t>
      </w:r>
      <w:r>
        <w:rPr>
          <w:rFonts w:hint="eastAsia" w:ascii="宋体" w:hAnsi="宋体"/>
          <w:color w:val="000000"/>
          <w:szCs w:val="21"/>
        </w:rPr>
        <w:t>供应商</w:t>
      </w:r>
      <w:r>
        <w:rPr>
          <w:rFonts w:hint="eastAsia" w:ascii="宋体" w:hAnsi="宋体" w:cs="宋体"/>
          <w:color w:val="000000"/>
          <w:kern w:val="0"/>
          <w:szCs w:val="21"/>
        </w:rPr>
        <w:t>名称）的法定代表人</w:t>
      </w:r>
      <w:r>
        <w:rPr>
          <w:rFonts w:hint="eastAsia" w:ascii="宋体" w:hAnsi="宋体" w:cs="微软雅黑"/>
          <w:color w:val="000000"/>
          <w:kern w:val="0"/>
          <w:szCs w:val="21"/>
        </w:rPr>
        <w:t>（</w:t>
      </w:r>
      <w:r>
        <w:rPr>
          <w:rFonts w:hint="eastAsia" w:ascii="宋体" w:hAnsi="宋体" w:cs="微软雅黑"/>
          <w:color w:val="000000"/>
          <w:spacing w:val="-2"/>
          <w:kern w:val="0"/>
          <w:szCs w:val="21"/>
        </w:rPr>
        <w:t>单</w:t>
      </w:r>
      <w:r>
        <w:rPr>
          <w:rFonts w:hint="eastAsia" w:ascii="宋体" w:hAnsi="宋体" w:cs="微软雅黑"/>
          <w:color w:val="000000"/>
          <w:kern w:val="0"/>
          <w:szCs w:val="21"/>
        </w:rPr>
        <w:t>位</w:t>
      </w:r>
      <w:r>
        <w:rPr>
          <w:rFonts w:hint="eastAsia" w:ascii="宋体" w:hAnsi="宋体" w:cs="微软雅黑"/>
          <w:color w:val="000000"/>
          <w:spacing w:val="-2"/>
          <w:kern w:val="0"/>
          <w:szCs w:val="21"/>
        </w:rPr>
        <w:t>负</w:t>
      </w:r>
      <w:r>
        <w:rPr>
          <w:rFonts w:hint="eastAsia" w:ascii="宋体" w:hAnsi="宋体" w:cs="微软雅黑"/>
          <w:color w:val="000000"/>
          <w:kern w:val="0"/>
          <w:szCs w:val="21"/>
        </w:rPr>
        <w:t>责人</w:t>
      </w:r>
      <w:r>
        <w:rPr>
          <w:rFonts w:hint="eastAsia" w:ascii="宋体" w:hAnsi="宋体" w:cs="微软雅黑"/>
          <w:color w:val="000000"/>
          <w:spacing w:val="-2"/>
          <w:kern w:val="0"/>
          <w:szCs w:val="21"/>
        </w:rPr>
        <w:t>）</w:t>
      </w:r>
      <w:r>
        <w:rPr>
          <w:rFonts w:hint="eastAsia" w:ascii="宋体" w:hAnsi="宋体" w:cs="宋体"/>
          <w:color w:val="000000"/>
          <w:kern w:val="0"/>
          <w:szCs w:val="21"/>
        </w:rPr>
        <w:t>，现授权（姓名、职务）为我方代理人。代理人根据授权，以我方名义：(1)签署、澄清、补正、修改、撤回、提交（项目名称、</w:t>
      </w:r>
      <w:r>
        <w:rPr>
          <w:rFonts w:hint="eastAsia" w:ascii="宋体" w:hAnsi="宋体"/>
          <w:color w:val="000000"/>
          <w:szCs w:val="21"/>
        </w:rPr>
        <w:t>政府</w:t>
      </w:r>
      <w:r>
        <w:rPr>
          <w:rFonts w:hint="eastAsia" w:ascii="宋体" w:hAnsi="宋体" w:cs="宋体"/>
          <w:color w:val="000000"/>
          <w:kern w:val="0"/>
          <w:szCs w:val="21"/>
        </w:rPr>
        <w:t>采购编号、采购代理编号）响应文件；(2)签署并重新提交响应文件及最后报价；(3)退出谈判（如可能）；(4)签订合同和处理有关事宜，其法律后果由我方承担。</w:t>
      </w:r>
    </w:p>
    <w:p>
      <w:pPr>
        <w:autoSpaceDE w:val="0"/>
        <w:autoSpaceDN w:val="0"/>
        <w:adjustRightInd w:val="0"/>
        <w:snapToGrid w:val="0"/>
        <w:spacing w:beforeLines="50"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委托期限： 。</w:t>
      </w:r>
    </w:p>
    <w:p>
      <w:pPr>
        <w:adjustRightInd w:val="0"/>
        <w:snapToGrid w:val="0"/>
        <w:spacing w:beforeLines="50" w:line="360" w:lineRule="auto"/>
        <w:ind w:firstLine="435"/>
        <w:rPr>
          <w:rFonts w:ascii="宋体" w:hAnsi="宋体" w:cs="宋体"/>
          <w:color w:val="000000"/>
          <w:kern w:val="0"/>
          <w:szCs w:val="21"/>
        </w:rPr>
      </w:pPr>
      <w:r>
        <w:rPr>
          <w:rFonts w:hint="eastAsia" w:ascii="宋体" w:hAnsi="宋体" w:cs="宋体"/>
          <w:color w:val="000000"/>
          <w:kern w:val="0"/>
          <w:szCs w:val="21"/>
        </w:rPr>
        <w:t>代理人无转委托权。</w:t>
      </w:r>
    </w:p>
    <w:p>
      <w:pPr>
        <w:adjustRightInd w:val="0"/>
        <w:snapToGrid w:val="0"/>
        <w:spacing w:beforeLines="50" w:line="360" w:lineRule="auto"/>
        <w:ind w:firstLine="435"/>
        <w:rPr>
          <w:rFonts w:ascii="宋体" w:hAnsi="宋体" w:cs="微软雅黑"/>
          <w:color w:val="000000"/>
          <w:kern w:val="0"/>
          <w:szCs w:val="21"/>
        </w:rPr>
      </w:pPr>
      <w:r>
        <w:rPr>
          <w:rFonts w:hint="eastAsia" w:ascii="宋体" w:hAnsi="宋体"/>
          <w:color w:val="000000"/>
          <w:szCs w:val="21"/>
        </w:rPr>
        <w:t>本授权书于年月日签字生效，特此声明。</w:t>
      </w:r>
    </w:p>
    <w:tbl>
      <w:tblPr>
        <w:tblStyle w:val="43"/>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pPr>
              <w:adjustRightInd w:val="0"/>
              <w:snapToGrid w:val="0"/>
              <w:spacing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shd w:val="clear" w:color="auto" w:fill="auto"/>
            <w:vAlign w:val="center"/>
          </w:tcPr>
          <w:p>
            <w:pPr>
              <w:adjustRightInd w:val="0"/>
              <w:snapToGrid w:val="0"/>
              <w:spacing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pPr>
        <w:adjustRightInd w:val="0"/>
        <w:snapToGrid w:val="0"/>
        <w:spacing w:beforeLines="50" w:line="360" w:lineRule="auto"/>
        <w:ind w:firstLine="420" w:firstLineChars="200"/>
        <w:rPr>
          <w:rFonts w:ascii="宋体" w:hAnsi="宋体"/>
          <w:color w:val="000000"/>
          <w:szCs w:val="21"/>
        </w:rPr>
      </w:pPr>
    </w:p>
    <w:p>
      <w:pPr>
        <w:adjustRightInd w:val="0"/>
        <w:snapToGrid w:val="0"/>
        <w:spacing w:beforeLines="50" w:line="360" w:lineRule="auto"/>
        <w:ind w:firstLine="420" w:firstLineChars="200"/>
        <w:rPr>
          <w:rFonts w:ascii="宋体" w:hAnsi="宋体"/>
          <w:color w:val="000000"/>
          <w:szCs w:val="21"/>
        </w:rPr>
      </w:pPr>
    </w:p>
    <w:p>
      <w:pPr>
        <w:adjustRightInd w:val="0"/>
        <w:snapToGrid w:val="0"/>
        <w:spacing w:beforeLines="50" w:line="360" w:lineRule="auto"/>
        <w:rPr>
          <w:rFonts w:ascii="宋体" w:hAnsi="宋体"/>
          <w:color w:val="000000"/>
          <w:szCs w:val="21"/>
        </w:rPr>
      </w:pPr>
      <w:r>
        <w:rPr>
          <w:rFonts w:hint="eastAsia" w:ascii="宋体" w:hAnsi="宋体"/>
          <w:color w:val="000000"/>
          <w:szCs w:val="21"/>
        </w:rPr>
        <w:t>注：供应商代表不是供应商的法定代表人（单位负责人）的提供。供应商为自然人的无需提供。</w:t>
      </w:r>
    </w:p>
    <w:p>
      <w:pPr>
        <w:adjustRightInd w:val="0"/>
        <w:snapToGrid w:val="0"/>
        <w:spacing w:beforeLines="50" w:line="360" w:lineRule="auto"/>
        <w:ind w:firstLine="420" w:firstLineChars="200"/>
        <w:rPr>
          <w:rFonts w:ascii="宋体" w:hAnsi="宋体"/>
          <w:color w:val="000000"/>
          <w:szCs w:val="21"/>
        </w:rPr>
      </w:pPr>
    </w:p>
    <w:p>
      <w:pPr>
        <w:adjustRightInd w:val="0"/>
        <w:snapToGrid w:val="0"/>
        <w:spacing w:beforeLines="50" w:line="360" w:lineRule="auto"/>
        <w:ind w:firstLine="420" w:firstLineChars="200"/>
        <w:rPr>
          <w:rFonts w:ascii="宋体" w:hAnsi="宋体"/>
          <w:color w:val="000000"/>
          <w:szCs w:val="21"/>
        </w:rPr>
      </w:pPr>
    </w:p>
    <w:p>
      <w:pPr>
        <w:pStyle w:val="24"/>
        <w:adjustRightInd w:val="0"/>
        <w:snapToGrid w:val="0"/>
        <w:spacing w:beforeLines="50" w:line="360" w:lineRule="auto"/>
        <w:rPr>
          <w:rFonts w:hAnsi="宋体"/>
          <w:color w:val="000000"/>
        </w:rPr>
      </w:pPr>
      <w:r>
        <w:rPr>
          <w:rFonts w:hint="eastAsia" w:hAnsi="宋体"/>
          <w:color w:val="000000"/>
        </w:rPr>
        <w:t>供应商名称(盖单位公章)：</w:t>
      </w:r>
    </w:p>
    <w:p>
      <w:pPr>
        <w:adjustRightInd w:val="0"/>
        <w:snapToGrid w:val="0"/>
        <w:spacing w:beforeLines="50" w:line="360" w:lineRule="auto"/>
        <w:rPr>
          <w:rFonts w:ascii="宋体" w:hAnsi="宋体"/>
          <w:color w:val="000000"/>
          <w:szCs w:val="21"/>
          <w:u w:val="single"/>
        </w:rPr>
      </w:pPr>
      <w:r>
        <w:rPr>
          <w:rFonts w:hint="eastAsia" w:ascii="宋体" w:hAnsi="宋体"/>
          <w:color w:val="000000"/>
          <w:szCs w:val="21"/>
        </w:rPr>
        <w:t>法定代表人（单位负责人）（签字或印章）或其授权的代理人（签字）：</w:t>
      </w:r>
    </w:p>
    <w:p>
      <w:pPr>
        <w:adjustRightInd w:val="0"/>
        <w:snapToGrid w:val="0"/>
        <w:spacing w:beforeLines="50" w:line="360" w:lineRule="auto"/>
        <w:rPr>
          <w:rFonts w:ascii="宋体" w:hAnsi="宋体"/>
          <w:color w:val="000000"/>
          <w:szCs w:val="21"/>
        </w:rPr>
      </w:pPr>
      <w:r>
        <w:rPr>
          <w:rFonts w:hint="eastAsia" w:ascii="宋体" w:hAnsi="宋体"/>
          <w:color w:val="000000"/>
          <w:szCs w:val="21"/>
        </w:rPr>
        <w:t>日期：年月日</w:t>
      </w:r>
    </w:p>
    <w:p>
      <w:pPr>
        <w:pStyle w:val="6"/>
        <w:jc w:val="center"/>
        <w:rPr>
          <w:rFonts w:ascii="黑体" w:hAnsi="黑体" w:eastAsia="黑体"/>
          <w:color w:val="000000"/>
          <w:sz w:val="28"/>
          <w:szCs w:val="28"/>
        </w:rPr>
      </w:pPr>
      <w:r>
        <w:rPr>
          <w:rFonts w:ascii="宋体"/>
          <w:color w:val="000000"/>
        </w:rPr>
        <w:br w:type="page"/>
      </w:r>
      <w:bookmarkStart w:id="61" w:name="_Toc19053"/>
      <w:r>
        <w:rPr>
          <w:rFonts w:hint="eastAsia" w:ascii="黑体" w:hAnsi="黑体" w:eastAsia="黑体"/>
          <w:color w:val="000000"/>
          <w:sz w:val="28"/>
          <w:szCs w:val="28"/>
        </w:rPr>
        <w:t>四、保证金</w:t>
      </w:r>
      <w:bookmarkEnd w:id="61"/>
    </w:p>
    <w:p>
      <w:pPr>
        <w:adjustRightInd w:val="0"/>
        <w:snapToGrid w:val="0"/>
        <w:spacing w:beforeLines="50" w:line="360" w:lineRule="auto"/>
        <w:ind w:firstLine="422" w:firstLineChars="200"/>
        <w:jc w:val="left"/>
        <w:rPr>
          <w:rFonts w:ascii="宋体" w:hAnsi="宋体"/>
          <w:color w:val="000000"/>
          <w:szCs w:val="21"/>
        </w:rPr>
      </w:pPr>
      <w:r>
        <w:rPr>
          <w:rFonts w:hint="eastAsia" w:ascii="宋体" w:hAnsi="宋体"/>
          <w:b/>
          <w:color w:val="000000"/>
          <w:szCs w:val="21"/>
        </w:rPr>
        <w:t>备注</w:t>
      </w:r>
      <w:r>
        <w:rPr>
          <w:rFonts w:hint="eastAsia" w:ascii="宋体" w:hAnsi="宋体"/>
          <w:color w:val="000000"/>
          <w:szCs w:val="21"/>
        </w:rPr>
        <w:t>：提供：付款凭证复印件，或金融机构、担保机构出具的保函原件。</w:t>
      </w:r>
    </w:p>
    <w:p>
      <w:pPr>
        <w:adjustRightInd w:val="0"/>
        <w:snapToGrid w:val="0"/>
        <w:spacing w:beforeLines="50" w:line="360" w:lineRule="auto"/>
        <w:ind w:firstLine="420" w:firstLineChars="200"/>
        <w:jc w:val="left"/>
        <w:rPr>
          <w:rFonts w:ascii="宋体" w:hAnsi="宋体"/>
          <w:color w:val="000000"/>
        </w:rPr>
      </w:pPr>
    </w:p>
    <w:p>
      <w:pPr>
        <w:pStyle w:val="7"/>
        <w:rPr>
          <w:rFonts w:ascii="宋体" w:hAnsi="宋体"/>
          <w:color w:val="000000"/>
          <w:sz w:val="21"/>
          <w:szCs w:val="21"/>
        </w:rPr>
      </w:pPr>
      <w:bookmarkStart w:id="62" w:name="_Toc30699"/>
      <w:r>
        <w:rPr>
          <w:rFonts w:hint="eastAsia" w:ascii="宋体" w:hAnsi="宋体"/>
          <w:color w:val="000000"/>
          <w:sz w:val="21"/>
          <w:szCs w:val="21"/>
        </w:rPr>
        <w:t>附件4</w:t>
      </w:r>
      <w:r>
        <w:rPr>
          <w:rStyle w:val="60"/>
          <w:rFonts w:hint="eastAsia" w:ascii="宋体" w:hAnsi="宋体"/>
          <w:b w:val="0"/>
          <w:bCs w:val="0"/>
          <w:color w:val="000000"/>
          <w:sz w:val="21"/>
          <w:szCs w:val="21"/>
        </w:rPr>
        <w:t>-</w:t>
      </w:r>
      <w:r>
        <w:rPr>
          <w:rFonts w:hint="eastAsia" w:ascii="宋体" w:hAnsi="宋体"/>
          <w:color w:val="000000"/>
          <w:sz w:val="21"/>
          <w:szCs w:val="21"/>
        </w:rPr>
        <w:t>1 保函（格式）</w:t>
      </w:r>
      <w:bookmarkEnd w:id="62"/>
    </w:p>
    <w:p>
      <w:pPr>
        <w:adjustRightInd w:val="0"/>
        <w:snapToGrid w:val="0"/>
        <w:spacing w:beforeLines="50" w:line="360" w:lineRule="auto"/>
        <w:jc w:val="center"/>
        <w:rPr>
          <w:rFonts w:ascii="黑体" w:hAnsi="黑体" w:eastAsia="黑体"/>
          <w:b/>
          <w:color w:val="000000"/>
          <w:sz w:val="28"/>
          <w:szCs w:val="28"/>
          <w:u w:val="single"/>
        </w:rPr>
      </w:pPr>
      <w:r>
        <w:rPr>
          <w:rFonts w:hint="eastAsia" w:ascii="黑体" w:hAnsi="黑体" w:eastAsia="黑体"/>
          <w:b/>
          <w:color w:val="000000"/>
          <w:sz w:val="28"/>
          <w:szCs w:val="28"/>
        </w:rPr>
        <w:t>保函（格式）</w:t>
      </w:r>
    </w:p>
    <w:p>
      <w:pPr>
        <w:adjustRightInd w:val="0"/>
        <w:snapToGrid w:val="0"/>
        <w:spacing w:beforeLines="50" w:line="360" w:lineRule="auto"/>
        <w:jc w:val="center"/>
        <w:rPr>
          <w:rFonts w:ascii="宋体" w:hAnsi="宋体"/>
          <w:color w:val="000000"/>
          <w:u w:val="single"/>
        </w:rPr>
      </w:pPr>
      <w:r>
        <w:rPr>
          <w:rFonts w:hint="eastAsia" w:ascii="宋体" w:hAnsi="宋体"/>
          <w:color w:val="000000"/>
        </w:rPr>
        <w:t>（金融机构、担保机构保函）</w:t>
      </w:r>
    </w:p>
    <w:p>
      <w:pPr>
        <w:adjustRightInd w:val="0"/>
        <w:snapToGrid w:val="0"/>
        <w:spacing w:beforeLines="50" w:line="360" w:lineRule="auto"/>
        <w:jc w:val="left"/>
        <w:rPr>
          <w:rFonts w:ascii="宋体" w:hAnsi="宋体"/>
          <w:color w:val="000000"/>
        </w:rPr>
      </w:pPr>
      <w:r>
        <w:rPr>
          <w:rFonts w:hint="eastAsia" w:ascii="宋体" w:hAnsi="宋体"/>
          <w:color w:val="000000"/>
        </w:rPr>
        <w:t>（采购人名称）：</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鉴于（供应商名称）（以下称“供应商”）于年月日参加（项目名称）的竞争性谈判</w:t>
      </w:r>
      <w:r>
        <w:rPr>
          <w:rFonts w:hint="eastAsia" w:ascii="宋体" w:hAnsi="宋体"/>
          <w:color w:val="000000"/>
          <w:szCs w:val="21"/>
        </w:rPr>
        <w:t>（政府采购编号：，采购代理编号：）</w:t>
      </w:r>
      <w:r>
        <w:rPr>
          <w:rFonts w:hint="eastAsia" w:ascii="宋体" w:hAnsi="宋体"/>
          <w:color w:val="000000"/>
        </w:rPr>
        <w:t xml:space="preserve">，（担保人名称，以下简称“我方”）无条件地、不可撤销地保证：若供应商在响应文件有效期内撤销响应文件，或成交后无正当理由不与采购人订立合同，或在签订合同时向采购人提出附加条件，或不按照谈判文件要求提交履约保证金，以及发生谈判文件明确规定可以不予退还保证金的其他情形，我方承担保证责任。收到你方书面通知后，我方在 7 日内向你方无条件支付人民币（大写）。 </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本保函在响应文件有效期内保持有效。要求我方承担保证责任的通知应在响应文件有效期内送达我方。</w:t>
      </w: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担保人名称：（盖单位公章）</w:t>
      </w:r>
    </w:p>
    <w:p>
      <w:pPr>
        <w:adjustRightInd w:val="0"/>
        <w:snapToGrid w:val="0"/>
        <w:spacing w:beforeLines="50" w:line="360" w:lineRule="auto"/>
        <w:ind w:firstLine="420" w:firstLineChars="200"/>
        <w:jc w:val="left"/>
        <w:rPr>
          <w:rFonts w:ascii="宋体" w:hAnsi="宋体"/>
          <w:color w:val="000000"/>
          <w:u w:val="single"/>
        </w:rPr>
      </w:pPr>
      <w:r>
        <w:rPr>
          <w:rFonts w:hint="eastAsia" w:ascii="宋体" w:hAnsi="宋体"/>
          <w:color w:val="000000"/>
          <w:szCs w:val="21"/>
        </w:rPr>
        <w:t>法定代表人（单位负责人）（签字或印章）或其授权的代理人（签字）：</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地    址：</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邮政编码：</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电    话：</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年月日</w:t>
      </w:r>
    </w:p>
    <w:p>
      <w:pPr>
        <w:rPr>
          <w:color w:val="000000"/>
        </w:rPr>
      </w:pPr>
    </w:p>
    <w:p>
      <w:pPr>
        <w:rPr>
          <w:color w:val="000000"/>
        </w:rPr>
      </w:pPr>
      <w:r>
        <w:rPr>
          <w:color w:val="000000"/>
        </w:rPr>
        <w:br w:type="page"/>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附件4-2 保证金相关要求</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一、投标保证金账户名称及基本情况</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1、投标保证金账户名称：湖南中泉项目管理有限公司</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2、投标保证金账号：810000186662000001</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 xml:space="preserve"> 3、开户行：长沙银行股份有限公司天心支行 (进账时，须在进账单“款项来源”栏注明委托代理编号及投标单位简称)</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二、一般投标保证金：</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1、投标人应按招标文件注明的缴纳数额提交投标保证金。</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1.1保证金数额不得超过采购项目预算的百分之二，且最高不得超过人民币10万元；</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1.2协议供货、服务定点及单一来源等特殊采购项目免收保证金；</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1.3投标保证金数额小于1000元的项目免收保证金；</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2、投标保证金必须在提交响应文件的截止时间前到达指定银行账户（保证金以银行到账为准）。</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3、投标保证金必须采用银行转账或电汇方式进行缴纳（投标人不得以现金方式缴纳保证金（含现金缴存银行方式））。</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3.1投标保证金缴纳账户须为投标人基本账户（“原进原出”，不得由第三方垫付投标保证金）；</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3.2进账时需在进账单的款项来源、备注或摘要处注明项目的委托代理编号(仅注明ZQXM-后的部分即可，例如：委托代理编号：ZQXM—2019—06001仅标注2019—06001即可)；</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4、中标投标人应将《投标保证金退还申请书》原件（其中：退还保证金账户须与缴纳保证金账户一致）在递交合同备案时一同递交给合同管理人员。</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4.1《投标保证金退还申请书》见附件</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5、投标保证金的返还。</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5.1返还时间：未中标的投标人的投标保证金，将在中标通知书发出之日后5个工作日内无息返还；中标的投标人的投标保证金，将在中标人将所签订的合同送湖南辉煌时代项目管理有限公司备案后5个工作日内无息返还。</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5.2返还方式：根据投标人递交的《投标保证金退还申请书》（详见附件3）上的账户信息，以转账或电汇方式退还至投标人的原缴纳账户；</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6、缴纳保证金的投标人有下列情形之一的，投标保证金将不予退还:</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（1）在采购文件要求提交投标（响应）文件的截止时间后至投标（响应）有效期满前撤回投标（响应）文件的；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（2）与采购人、其他投标人串通投标的；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（3）提供虚假资料谋取中标（成交）的；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（4）在收到中标（成交）结果通知书后，不按规定时间或拒绝签订政府采购合同的：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（5）将中标（成交）项目违规转让给他人，或未在投标（响应）文件中说明，且未经采购人同意，将中标（成交）项目分包给他人的；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（6）中标（成交）人在规定期限内未能根据采购文件规定缴纳履约保证金的；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（7）拒绝履行合同义务的；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（8）法律法规规定的其他情形。</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br w:type="page"/>
      </w:r>
      <w:r>
        <w:rPr>
          <w:rFonts w:hint="eastAsia" w:ascii="宋体" w:hAnsi="宋体"/>
          <w:color w:val="000000"/>
        </w:rPr>
        <w:t>附件4-3</w:t>
      </w:r>
    </w:p>
    <w:p>
      <w:pPr>
        <w:adjustRightInd w:val="0"/>
        <w:snapToGrid w:val="0"/>
        <w:spacing w:beforeLines="50" w:line="360" w:lineRule="auto"/>
        <w:ind w:firstLine="420" w:firstLineChars="200"/>
        <w:rPr>
          <w:rFonts w:ascii="宋体" w:hAnsi="宋体"/>
          <w:color w:val="000000"/>
        </w:rPr>
      </w:pPr>
      <w:r>
        <w:rPr>
          <w:rFonts w:hint="eastAsia" w:ascii="宋体" w:hAnsi="宋体"/>
          <w:color w:val="000000"/>
        </w:rPr>
        <w:t>投标保证金退还申请书</w:t>
      </w: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致湖南中泉项目管理有限公司：</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我系 ，现申请退还ZQXM-20  -   的</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投标保证金人民币（大写）            （￥      ） ，投标保证金请退还到以下账户：</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户名：</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账号：</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开户行：</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开户行地址：省市</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如果提供的账户信息有误或因账户信息变更未及时通知，一切后果均由本单位自行负责。</w:t>
      </w: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单位签章：</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联系人：</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移动电话：</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固定电话：</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年月日</w:t>
      </w:r>
    </w:p>
    <w:p>
      <w:pPr>
        <w:adjustRightInd w:val="0"/>
        <w:snapToGrid w:val="0"/>
        <w:spacing w:beforeLines="50" w:line="360" w:lineRule="auto"/>
        <w:ind w:firstLine="420" w:firstLineChars="200"/>
        <w:jc w:val="left"/>
        <w:rPr>
          <w:rFonts w:ascii="宋体" w:hAnsi="宋体"/>
          <w:color w:val="000000"/>
        </w:rPr>
      </w:pP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注：1、投标人应于开标当天单独打印一份保证金退还申请书随投标文件一并提交（无需密封），未提交影响保证金退还的后果自负。</w:t>
      </w:r>
    </w:p>
    <w:p>
      <w:pPr>
        <w:adjustRightInd w:val="0"/>
        <w:snapToGrid w:val="0"/>
        <w:spacing w:beforeLines="50" w:line="360" w:lineRule="auto"/>
        <w:ind w:firstLine="420" w:firstLineChars="200"/>
        <w:jc w:val="left"/>
        <w:rPr>
          <w:rFonts w:ascii="宋体" w:hAnsi="宋体"/>
          <w:color w:val="000000"/>
        </w:rPr>
      </w:pPr>
      <w:r>
        <w:rPr>
          <w:rFonts w:hint="eastAsia" w:ascii="宋体" w:hAnsi="宋体"/>
          <w:color w:val="000000"/>
        </w:rPr>
        <w:t>2、申请书中所填账户只能为投标人本公司账户。</w:t>
      </w:r>
    </w:p>
    <w:p>
      <w:pPr>
        <w:adjustRightInd w:val="0"/>
        <w:snapToGrid w:val="0"/>
        <w:spacing w:beforeLines="50" w:line="360" w:lineRule="auto"/>
        <w:ind w:firstLine="420" w:firstLineChars="200"/>
        <w:jc w:val="center"/>
        <w:rPr>
          <w:rFonts w:ascii="黑体" w:hAnsi="黑体" w:eastAsia="黑体"/>
          <w:sz w:val="28"/>
          <w:szCs w:val="28"/>
        </w:rPr>
      </w:pPr>
      <w:r>
        <w:rPr>
          <w:rFonts w:hint="eastAsia" w:ascii="宋体" w:hAnsi="宋体"/>
          <w:color w:val="000000"/>
        </w:rPr>
        <w:br w:type="page"/>
      </w:r>
      <w:r>
        <w:rPr>
          <w:rFonts w:hint="eastAsia" w:ascii="黑体" w:hAnsi="黑体" w:eastAsia="黑体"/>
          <w:sz w:val="28"/>
          <w:szCs w:val="28"/>
        </w:rPr>
        <w:t>五、报价表及报价文件(格式)</w:t>
      </w:r>
    </w:p>
    <w:p>
      <w:pPr>
        <w:pStyle w:val="7"/>
        <w:rPr>
          <w:rFonts w:ascii="宋体" w:hAnsi="宋体"/>
          <w:sz w:val="21"/>
          <w:szCs w:val="21"/>
        </w:rPr>
      </w:pPr>
      <w:bookmarkStart w:id="63" w:name="_Toc12321"/>
      <w:r>
        <w:rPr>
          <w:rFonts w:hint="eastAsia" w:ascii="宋体" w:hAnsi="宋体"/>
          <w:sz w:val="21"/>
          <w:szCs w:val="21"/>
        </w:rPr>
        <w:t>件5-1 报价表</w:t>
      </w:r>
      <w:bookmarkEnd w:id="63"/>
    </w:p>
    <w:p>
      <w:pPr>
        <w:jc w:val="center"/>
        <w:rPr>
          <w:rFonts w:ascii="仿宋_GB2312" w:hAnsi="宋体" w:eastAsia="黑体"/>
          <w:color w:val="000000"/>
          <w:sz w:val="24"/>
        </w:rPr>
      </w:pPr>
      <w:r>
        <w:rPr>
          <w:rFonts w:hint="eastAsia" w:ascii="黑体" w:hAnsi="黑体" w:eastAsia="黑体"/>
          <w:b/>
          <w:sz w:val="28"/>
          <w:szCs w:val="28"/>
        </w:rPr>
        <w:t>报价表</w:t>
      </w:r>
    </w:p>
    <w:tbl>
      <w:tblPr>
        <w:tblStyle w:val="43"/>
        <w:tblpPr w:leftFromText="180" w:rightFromText="180" w:vertAnchor="text" w:horzAnchor="page" w:tblpX="2044" w:tblpY="231"/>
        <w:tblOverlap w:val="never"/>
        <w:tblW w:w="0" w:type="auto"/>
        <w:tblInd w:w="0" w:type="dxa"/>
        <w:tblLayout w:type="fixed"/>
        <w:tblCellMar>
          <w:top w:w="0" w:type="dxa"/>
          <w:left w:w="0" w:type="dxa"/>
          <w:bottom w:w="0" w:type="dxa"/>
          <w:right w:w="0" w:type="dxa"/>
        </w:tblCellMar>
      </w:tblPr>
      <w:tblGrid>
        <w:gridCol w:w="486"/>
        <w:gridCol w:w="1964"/>
        <w:gridCol w:w="2989"/>
        <w:gridCol w:w="1646"/>
        <w:gridCol w:w="1547"/>
      </w:tblGrid>
      <w:tr>
        <w:tblPrEx>
          <w:tblCellMar>
            <w:top w:w="0" w:type="dxa"/>
            <w:left w:w="0" w:type="dxa"/>
            <w:bottom w:w="0" w:type="dxa"/>
            <w:right w:w="0" w:type="dxa"/>
          </w:tblCellMar>
        </w:tblPrEx>
        <w:trPr>
          <w:cantSplit/>
          <w:trHeight w:val="420" w:hRule="atLeast"/>
        </w:trPr>
        <w:tc>
          <w:tcPr>
            <w:tcW w:w="486" w:type="dxa"/>
            <w:vMerge w:val="restart"/>
            <w:tcBorders>
              <w:top w:val="double" w:color="000000" w:sz="2" w:space="0"/>
              <w:left w:val="double" w:color="000000" w:sz="2" w:space="0"/>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序号</w:t>
            </w:r>
          </w:p>
        </w:tc>
        <w:tc>
          <w:tcPr>
            <w:tcW w:w="1964" w:type="dxa"/>
            <w:vMerge w:val="restart"/>
            <w:tcBorders>
              <w:top w:val="double" w:color="000000" w:sz="2" w:space="0"/>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项目名称</w:t>
            </w:r>
          </w:p>
        </w:tc>
        <w:tc>
          <w:tcPr>
            <w:tcW w:w="2989" w:type="dxa"/>
            <w:vMerge w:val="restart"/>
            <w:tcBorders>
              <w:top w:val="double" w:color="000000" w:sz="2" w:space="0"/>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szCs w:val="21"/>
              </w:rPr>
              <w:t xml:space="preserve">  </w:t>
            </w:r>
          </w:p>
        </w:tc>
        <w:tc>
          <w:tcPr>
            <w:tcW w:w="1646" w:type="dxa"/>
            <w:tcBorders>
              <w:top w:val="double" w:color="000000" w:sz="2" w:space="0"/>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政府采购编号</w:t>
            </w:r>
          </w:p>
        </w:tc>
        <w:tc>
          <w:tcPr>
            <w:tcW w:w="1547" w:type="dxa"/>
            <w:tcBorders>
              <w:top w:val="double" w:color="000000" w:sz="2" w:space="0"/>
              <w:left w:val="nil"/>
              <w:bottom w:val="single" w:color="000000" w:sz="8" w:space="0"/>
              <w:right w:val="double" w:color="000000" w:sz="2" w:space="0"/>
            </w:tcBorders>
            <w:noWrap/>
            <w:tcMar>
              <w:top w:w="0" w:type="dxa"/>
              <w:left w:w="108" w:type="dxa"/>
              <w:bottom w:w="0" w:type="dxa"/>
              <w:right w:w="108" w:type="dxa"/>
            </w:tcMar>
            <w:vAlign w:val="center"/>
          </w:tcPr>
          <w:p>
            <w:pPr>
              <w:jc w:val="center"/>
            </w:pPr>
            <w:r>
              <w:rPr>
                <w:szCs w:val="21"/>
              </w:rPr>
              <w:t xml:space="preserve">  </w:t>
            </w:r>
          </w:p>
        </w:tc>
      </w:tr>
      <w:tr>
        <w:tblPrEx>
          <w:tblCellMar>
            <w:top w:w="0" w:type="dxa"/>
            <w:left w:w="0" w:type="dxa"/>
            <w:bottom w:w="0" w:type="dxa"/>
            <w:right w:w="0" w:type="dxa"/>
          </w:tblCellMar>
        </w:tblPrEx>
        <w:trPr>
          <w:cantSplit/>
          <w:trHeight w:val="420" w:hRule="atLeast"/>
        </w:trPr>
        <w:tc>
          <w:tcPr>
            <w:tcW w:w="486" w:type="dxa"/>
            <w:vMerge w:val="continue"/>
            <w:tcBorders>
              <w:top w:val="double" w:color="000000" w:sz="2" w:space="0"/>
              <w:left w:val="double" w:color="000000" w:sz="2" w:space="0"/>
              <w:bottom w:val="single" w:color="000000" w:sz="8" w:space="0"/>
              <w:right w:val="single" w:color="000000" w:sz="8" w:space="0"/>
            </w:tcBorders>
            <w:noWrap/>
            <w:vAlign w:val="center"/>
          </w:tcPr>
          <w:p/>
        </w:tc>
        <w:tc>
          <w:tcPr>
            <w:tcW w:w="1964" w:type="dxa"/>
            <w:vMerge w:val="continue"/>
            <w:tcBorders>
              <w:top w:val="double" w:color="000000" w:sz="2" w:space="0"/>
              <w:left w:val="nil"/>
              <w:bottom w:val="single" w:color="000000" w:sz="8" w:space="0"/>
              <w:right w:val="single" w:color="000000" w:sz="8" w:space="0"/>
            </w:tcBorders>
            <w:noWrap/>
            <w:vAlign w:val="center"/>
          </w:tcPr>
          <w:p/>
        </w:tc>
        <w:tc>
          <w:tcPr>
            <w:tcW w:w="2989" w:type="dxa"/>
            <w:vMerge w:val="continue"/>
            <w:tcBorders>
              <w:top w:val="double" w:color="000000" w:sz="2" w:space="0"/>
              <w:left w:val="nil"/>
              <w:bottom w:val="single" w:color="000000" w:sz="8" w:space="0"/>
              <w:right w:val="single" w:color="000000" w:sz="8" w:space="0"/>
            </w:tcBorders>
            <w:noWrap/>
            <w:vAlign w:val="center"/>
          </w:tcPr>
          <w:p/>
        </w:tc>
        <w:tc>
          <w:tcPr>
            <w:tcW w:w="1646"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采购代理编号</w:t>
            </w:r>
          </w:p>
        </w:tc>
        <w:tc>
          <w:tcPr>
            <w:tcW w:w="1547" w:type="dxa"/>
            <w:tcBorders>
              <w:top w:val="nil"/>
              <w:left w:val="nil"/>
              <w:bottom w:val="single" w:color="000000" w:sz="8" w:space="0"/>
              <w:right w:val="double" w:color="000000" w:sz="2" w:space="0"/>
            </w:tcBorders>
            <w:noWrap/>
            <w:tcMar>
              <w:top w:w="0" w:type="dxa"/>
              <w:left w:w="108" w:type="dxa"/>
              <w:bottom w:w="0" w:type="dxa"/>
              <w:right w:w="108" w:type="dxa"/>
            </w:tcMar>
            <w:vAlign w:val="cente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1</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合同包号</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2</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货物名称</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3</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品目代码</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4</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规格型号</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5</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品牌和生产厂家</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rFonts w:ascii="宋体" w:hAnsi="宋体" w:cs="宋体"/>
                <w:szCs w:val="21"/>
              </w:rPr>
              <w:t>品牌：</w:t>
            </w:r>
            <w:r>
              <w:rPr>
                <w:rFonts w:ascii="宋体" w:hAnsi="宋体" w:cs="宋体"/>
                <w:szCs w:val="21"/>
                <w:u w:val="single"/>
              </w:rPr>
              <w:t>       </w:t>
            </w:r>
            <w:r>
              <w:rPr>
                <w:rFonts w:ascii="宋体" w:hAnsi="宋体" w:cs="宋体"/>
                <w:szCs w:val="21"/>
              </w:rPr>
              <w:t xml:space="preserve"> ，生产厂家</w:t>
            </w:r>
            <w:r>
              <w:rPr>
                <w:rFonts w:ascii="宋体" w:hAnsi="宋体" w:cs="宋体"/>
                <w:szCs w:val="21"/>
                <w:u w:val="single"/>
              </w:rPr>
              <w:t>         </w:t>
            </w:r>
            <w:r>
              <w:rPr>
                <w:rFonts w:ascii="宋体" w:hAnsi="宋体" w:cs="宋体"/>
                <w:szCs w:val="21"/>
              </w:rPr>
              <w:t xml:space="preserve"> (组织机构代码：</w:t>
            </w:r>
            <w:r>
              <w:rPr>
                <w:rFonts w:ascii="宋体" w:hAnsi="宋体" w:cs="宋体"/>
                <w:szCs w:val="21"/>
                <w:u w:val="single"/>
              </w:rPr>
              <w:t>      </w:t>
            </w:r>
            <w:r>
              <w:rPr>
                <w:rFonts w:ascii="宋体" w:hAnsi="宋体" w:cs="宋体"/>
                <w:szCs w:val="21"/>
              </w:rPr>
              <w:t>)</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6</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hint="eastAsia"/>
              </w:rPr>
              <w:t>交货期</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7</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tcPr>
          <w:p>
            <w:pPr>
              <w:jc w:val="center"/>
            </w:pPr>
            <w:r>
              <w:rPr>
                <w:rFonts w:ascii="宋体" w:hAnsi="宋体" w:cs="宋体"/>
                <w:szCs w:val="21"/>
              </w:rPr>
              <w:t>数量</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jc w:val="center"/>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8</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单价</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ind w:firstLine="105"/>
            </w:pPr>
            <w:r>
              <w:rPr>
                <w:szCs w:val="21"/>
              </w:rPr>
              <w:t xml:space="preserve">  </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9</w:t>
            </w:r>
          </w:p>
        </w:tc>
        <w:tc>
          <w:tcPr>
            <w:tcW w:w="1964"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pPr>
              <w:jc w:val="center"/>
            </w:pPr>
            <w:r>
              <w:rPr>
                <w:rFonts w:ascii="宋体" w:hAnsi="宋体" w:cs="宋体"/>
                <w:b/>
                <w:bCs/>
                <w:szCs w:val="21"/>
              </w:rPr>
              <w:t>总报价人民币</w:t>
            </w:r>
          </w:p>
        </w:tc>
        <w:tc>
          <w:tcPr>
            <w:tcW w:w="6182" w:type="dxa"/>
            <w:gridSpan w:val="3"/>
            <w:tcBorders>
              <w:top w:val="nil"/>
              <w:left w:val="nil"/>
              <w:bottom w:val="single" w:color="000000" w:sz="8" w:space="0"/>
              <w:right w:val="double" w:color="000000" w:sz="2" w:space="0"/>
            </w:tcBorders>
            <w:noWrap/>
            <w:tcMar>
              <w:top w:w="0" w:type="dxa"/>
              <w:left w:w="108" w:type="dxa"/>
              <w:bottom w:w="0" w:type="dxa"/>
              <w:right w:w="108" w:type="dxa"/>
            </w:tcMar>
          </w:tcPr>
          <w:p>
            <w:pPr>
              <w:ind w:firstLine="105"/>
            </w:pPr>
            <w:r>
              <w:rPr>
                <w:rFonts w:ascii="宋体" w:hAnsi="宋体" w:cs="宋体"/>
                <w:b/>
                <w:bCs/>
                <w:szCs w:val="21"/>
              </w:rPr>
              <w:t>大写：</w:t>
            </w:r>
            <w:r>
              <w:rPr>
                <w:rFonts w:ascii="宋体" w:hAnsi="宋体" w:cs="宋体"/>
                <w:b/>
                <w:bCs/>
                <w:szCs w:val="21"/>
                <w:u w:val="single"/>
              </w:rPr>
              <w:t>                   </w:t>
            </w:r>
            <w:r>
              <w:rPr>
                <w:rFonts w:ascii="宋体" w:hAnsi="宋体" w:cs="宋体"/>
                <w:b/>
                <w:bCs/>
                <w:szCs w:val="21"/>
              </w:rPr>
              <w:t xml:space="preserve"> 元人民币整</w:t>
            </w:r>
          </w:p>
          <w:p>
            <w:pPr>
              <w:ind w:firstLine="105"/>
            </w:pPr>
            <w:r>
              <w:rPr>
                <w:rFonts w:ascii="宋体" w:hAnsi="宋体" w:cs="宋体"/>
                <w:b/>
                <w:bCs/>
                <w:szCs w:val="21"/>
              </w:rPr>
              <w:t>小写：</w:t>
            </w:r>
            <w:r>
              <w:rPr>
                <w:rFonts w:ascii="宋体" w:hAnsi="宋体" w:cs="宋体"/>
                <w:b/>
                <w:bCs/>
                <w:szCs w:val="21"/>
                <w:u w:val="single"/>
              </w:rPr>
              <w:t>                   </w:t>
            </w:r>
            <w:r>
              <w:rPr>
                <w:rFonts w:ascii="宋体" w:hAnsi="宋体" w:cs="宋体"/>
                <w:b/>
                <w:bCs/>
                <w:szCs w:val="21"/>
              </w:rPr>
              <w:t xml:space="preserve"> 元人民币整</w:t>
            </w:r>
          </w:p>
        </w:tc>
      </w:tr>
      <w:tr>
        <w:tblPrEx>
          <w:tblCellMar>
            <w:top w:w="0" w:type="dxa"/>
            <w:left w:w="0" w:type="dxa"/>
            <w:bottom w:w="0" w:type="dxa"/>
            <w:right w:w="0" w:type="dxa"/>
          </w:tblCellMar>
        </w:tblPrEx>
        <w:trPr>
          <w:trHeight w:val="420" w:hRule="atLeast"/>
        </w:trPr>
        <w:tc>
          <w:tcPr>
            <w:tcW w:w="486" w:type="dxa"/>
            <w:tcBorders>
              <w:top w:val="nil"/>
              <w:left w:val="double" w:color="000000" w:sz="2" w:space="0"/>
              <w:bottom w:val="double" w:color="000000" w:sz="2"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10</w:t>
            </w:r>
          </w:p>
        </w:tc>
        <w:tc>
          <w:tcPr>
            <w:tcW w:w="1964" w:type="dxa"/>
            <w:tcBorders>
              <w:top w:val="nil"/>
              <w:left w:val="nil"/>
              <w:bottom w:val="double" w:color="000000" w:sz="2" w:space="0"/>
              <w:right w:val="single" w:color="000000" w:sz="8" w:space="0"/>
            </w:tcBorders>
            <w:noWrap/>
            <w:tcMar>
              <w:top w:w="0" w:type="dxa"/>
              <w:left w:w="108" w:type="dxa"/>
              <w:bottom w:w="0" w:type="dxa"/>
              <w:right w:w="108" w:type="dxa"/>
            </w:tcMar>
            <w:vAlign w:val="center"/>
          </w:tcPr>
          <w:p>
            <w:pPr>
              <w:jc w:val="center"/>
            </w:pPr>
            <w:r>
              <w:rPr>
                <w:rFonts w:ascii="宋体" w:hAnsi="宋体" w:cs="宋体"/>
                <w:szCs w:val="21"/>
              </w:rPr>
              <w:t>备  注</w:t>
            </w:r>
          </w:p>
        </w:tc>
        <w:tc>
          <w:tcPr>
            <w:tcW w:w="6182" w:type="dxa"/>
            <w:gridSpan w:val="3"/>
            <w:tcBorders>
              <w:top w:val="nil"/>
              <w:left w:val="nil"/>
              <w:bottom w:val="double" w:color="000000" w:sz="2" w:space="0"/>
              <w:right w:val="double" w:color="000000" w:sz="2" w:space="0"/>
            </w:tcBorders>
            <w:noWrap/>
            <w:tcMar>
              <w:top w:w="0" w:type="dxa"/>
              <w:left w:w="108" w:type="dxa"/>
              <w:bottom w:w="0" w:type="dxa"/>
              <w:right w:w="108" w:type="dxa"/>
            </w:tcMar>
          </w:tcPr>
          <w:p>
            <w:pPr>
              <w:ind w:firstLine="105"/>
            </w:pPr>
            <w:r>
              <w:rPr>
                <w:szCs w:val="21"/>
              </w:rPr>
              <w:t xml:space="preserve">  </w:t>
            </w:r>
          </w:p>
        </w:tc>
      </w:tr>
    </w:tbl>
    <w:p>
      <w:pPr>
        <w:adjustRightInd w:val="0"/>
        <w:snapToGrid w:val="0"/>
        <w:spacing w:beforeLines="50" w:line="360" w:lineRule="auto"/>
        <w:rPr>
          <w:rFonts w:ascii="宋体" w:hAnsi="宋体"/>
          <w:szCs w:val="21"/>
        </w:rPr>
      </w:pPr>
      <w:r>
        <w:rPr>
          <w:rFonts w:hint="eastAsia" w:ascii="宋体" w:hAnsi="宋体"/>
          <w:b/>
          <w:szCs w:val="21"/>
        </w:rPr>
        <w:t>备注：</w:t>
      </w:r>
      <w:r>
        <w:rPr>
          <w:rFonts w:hint="eastAsia" w:ascii="宋体" w:hAnsi="宋体"/>
          <w:szCs w:val="21"/>
        </w:rPr>
        <w:t>（</w:t>
      </w:r>
      <w:r>
        <w:rPr>
          <w:rFonts w:hint="eastAsia" w:ascii="仿宋_GB2312" w:hAnsi="仿宋_GB2312" w:eastAsia="仿宋_GB2312" w:cs="仿宋_GB2312"/>
          <w:szCs w:val="21"/>
        </w:rPr>
        <w:t>1）本表须按包填写，一个“包号”一份。</w:t>
      </w:r>
    </w:p>
    <w:p>
      <w:pPr>
        <w:spacing w:line="360" w:lineRule="auto"/>
        <w:ind w:firstLine="420" w:firstLineChars="200"/>
      </w:pPr>
      <w:r>
        <w:rPr>
          <w:rFonts w:hint="eastAsia" w:ascii="仿宋_GB2312" w:hAnsi="仿宋_GB2312" w:eastAsia="仿宋_GB2312" w:cs="仿宋_GB2312"/>
          <w:szCs w:val="21"/>
        </w:rPr>
        <w:t>（2）</w:t>
      </w:r>
      <w:r>
        <w:rPr>
          <w:rFonts w:ascii="仿宋_GB2312" w:hAnsi="仿宋_GB2312" w:eastAsia="仿宋_GB2312" w:cs="仿宋_GB2312"/>
          <w:szCs w:val="21"/>
        </w:rPr>
        <w:t>“品目代码”栏按《政府采购品目分类目录》规定填写，如A02010103服务器；</w:t>
      </w:r>
    </w:p>
    <w:p>
      <w:pPr>
        <w:spacing w:line="360" w:lineRule="auto"/>
        <w:ind w:firstLine="420" w:firstLineChars="200"/>
      </w:pPr>
      <w:r>
        <w:rPr>
          <w:rFonts w:hint="eastAsia" w:ascii="仿宋_GB2312" w:hAnsi="仿宋_GB2312" w:eastAsia="仿宋_GB2312" w:cs="仿宋_GB2312"/>
          <w:szCs w:val="21"/>
        </w:rPr>
        <w:t>（3）</w:t>
      </w:r>
      <w:r>
        <w:rPr>
          <w:rFonts w:ascii="仿宋_GB2312" w:hAnsi="仿宋_GB2312" w:eastAsia="仿宋_GB2312" w:cs="仿宋_GB2312"/>
          <w:szCs w:val="21"/>
        </w:rPr>
        <w:t>“品牌和生产厂家”栏指产品的品牌和生产厂家，生产厂家还应提供组织机构代码；</w:t>
      </w: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beforeLines="50" w:line="360" w:lineRule="auto"/>
        <w:ind w:firstLine="420" w:firstLineChars="200"/>
        <w:rPr>
          <w:rFonts w:ascii="宋体" w:hAnsi="宋体"/>
          <w:szCs w:val="21"/>
        </w:rPr>
      </w:pPr>
    </w:p>
    <w:p>
      <w:pPr>
        <w:adjustRightInd w:val="0"/>
        <w:snapToGrid w:val="0"/>
        <w:spacing w:line="360" w:lineRule="auto"/>
        <w:rPr>
          <w:rFonts w:ascii="宋体" w:hAnsi="宋体"/>
          <w:color w:val="FF0000"/>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：_</w:t>
      </w:r>
    </w:p>
    <w:p>
      <w:pPr>
        <w:adjustRightInd w:val="0"/>
        <w:snapToGrid w:val="0"/>
        <w:spacing w:line="360" w:lineRule="auto"/>
        <w:rPr>
          <w:rFonts w:ascii="宋体" w:hAnsi="宋体"/>
          <w:szCs w:val="21"/>
        </w:rPr>
      </w:pPr>
      <w:r>
        <w:rPr>
          <w:rFonts w:hint="eastAsia" w:ascii="宋体" w:hAnsi="宋体"/>
          <w:szCs w:val="21"/>
        </w:rPr>
        <w:t>日期：年月日</w:t>
      </w:r>
    </w:p>
    <w:p/>
    <w:p>
      <w:pPr>
        <w:adjustRightInd w:val="0"/>
        <w:snapToGrid w:val="0"/>
        <w:rPr>
          <w:rFonts w:ascii="黑体" w:hAnsi="黑体" w:eastAsia="黑体"/>
          <w:bCs/>
          <w:sz w:val="30"/>
          <w:szCs w:val="30"/>
        </w:rPr>
      </w:pPr>
    </w:p>
    <w:p>
      <w:pPr>
        <w:pStyle w:val="7"/>
        <w:adjustRightInd w:val="0"/>
        <w:snapToGrid w:val="0"/>
        <w:spacing w:beforeLines="50" w:after="0" w:line="360" w:lineRule="auto"/>
        <w:rPr>
          <w:rFonts w:ascii="宋体" w:hAnsi="宋体"/>
          <w:sz w:val="21"/>
          <w:szCs w:val="21"/>
        </w:rPr>
      </w:pPr>
      <w:r>
        <w:rPr>
          <w:rFonts w:ascii="黑体" w:hAnsi="黑体" w:eastAsia="黑体"/>
          <w:sz w:val="30"/>
          <w:szCs w:val="30"/>
        </w:rPr>
        <w:br w:type="page"/>
      </w:r>
      <w:bookmarkStart w:id="64" w:name="_Toc30171"/>
      <w:r>
        <w:rPr>
          <w:rFonts w:hint="eastAsia" w:ascii="宋体" w:hAnsi="宋体"/>
          <w:sz w:val="21"/>
          <w:szCs w:val="21"/>
        </w:rPr>
        <w:t>附件5-2 分项报价说明</w:t>
      </w:r>
      <w:bookmarkEnd w:id="64"/>
    </w:p>
    <w:p>
      <w:pPr>
        <w:autoSpaceDE w:val="0"/>
        <w:autoSpaceDN w:val="0"/>
        <w:adjustRightInd w:val="0"/>
        <w:snapToGrid w:val="0"/>
        <w:spacing w:beforeLines="50" w:line="360" w:lineRule="auto"/>
        <w:jc w:val="center"/>
        <w:rPr>
          <w:rFonts w:ascii="黑体" w:hAnsi="宋体" w:eastAsia="黑体" w:cs="微软雅黑"/>
          <w:b/>
          <w:kern w:val="0"/>
          <w:sz w:val="28"/>
          <w:szCs w:val="28"/>
        </w:rPr>
      </w:pPr>
      <w:r>
        <w:rPr>
          <w:rFonts w:hint="eastAsia" w:ascii="黑体" w:hAnsi="宋体" w:eastAsia="黑体" w:cs="微软雅黑"/>
          <w:b/>
          <w:spacing w:val="-2"/>
          <w:kern w:val="0"/>
          <w:sz w:val="28"/>
          <w:szCs w:val="28"/>
        </w:rPr>
        <w:t>分</w:t>
      </w:r>
      <w:r>
        <w:rPr>
          <w:rFonts w:hint="eastAsia" w:ascii="黑体" w:hAnsi="宋体" w:eastAsia="黑体" w:cs="微软雅黑"/>
          <w:b/>
          <w:kern w:val="0"/>
          <w:sz w:val="28"/>
          <w:szCs w:val="28"/>
        </w:rPr>
        <w:t>项</w:t>
      </w:r>
      <w:r>
        <w:rPr>
          <w:rFonts w:hint="eastAsia" w:ascii="黑体" w:hAnsi="宋体" w:eastAsia="黑体" w:cs="微软雅黑"/>
          <w:b/>
          <w:spacing w:val="-2"/>
          <w:kern w:val="0"/>
          <w:sz w:val="28"/>
          <w:szCs w:val="28"/>
        </w:rPr>
        <w:t>报</w:t>
      </w:r>
      <w:r>
        <w:rPr>
          <w:rFonts w:hint="eastAsia" w:ascii="黑体" w:hAnsi="宋体" w:eastAsia="黑体" w:cs="微软雅黑"/>
          <w:b/>
          <w:kern w:val="0"/>
          <w:sz w:val="28"/>
          <w:szCs w:val="28"/>
        </w:rPr>
        <w:t>价说明</w:t>
      </w:r>
    </w:p>
    <w:p>
      <w:pPr>
        <w:autoSpaceDE w:val="0"/>
        <w:autoSpaceDN w:val="0"/>
        <w:adjustRightInd w:val="0"/>
        <w:snapToGrid w:val="0"/>
        <w:spacing w:beforeLines="50" w:line="360" w:lineRule="auto"/>
        <w:jc w:val="left"/>
        <w:rPr>
          <w:rFonts w:ascii="宋体" w:hAnsi="宋体" w:cs="微软雅黑"/>
          <w:kern w:val="0"/>
          <w:szCs w:val="21"/>
        </w:rPr>
      </w:pPr>
    </w:p>
    <w:p>
      <w:pPr>
        <w:autoSpaceDE w:val="0"/>
        <w:autoSpaceDN w:val="0"/>
        <w:adjustRightInd w:val="0"/>
        <w:snapToGrid w:val="0"/>
        <w:spacing w:beforeLines="50" w:line="360" w:lineRule="auto"/>
        <w:jc w:val="left"/>
        <w:rPr>
          <w:rFonts w:ascii="宋体" w:hAnsi="宋体" w:cs="微软雅黑"/>
          <w:kern w:val="0"/>
          <w:szCs w:val="21"/>
        </w:rPr>
      </w:pPr>
      <w:r>
        <w:rPr>
          <w:rFonts w:hint="eastAsia" w:ascii="宋体" w:hAnsi="宋体" w:cs="微软雅黑"/>
          <w:kern w:val="0"/>
          <w:szCs w:val="21"/>
        </w:rPr>
        <w:t>备注：1、供应商应按谈判文件第二章相关要求，对本节</w:t>
      </w:r>
      <w:r>
        <w:rPr>
          <w:rFonts w:hint="eastAsia" w:ascii="宋体" w:hAnsi="宋体"/>
          <w:bCs/>
          <w:szCs w:val="21"/>
        </w:rPr>
        <w:t>“</w:t>
      </w:r>
      <w:r>
        <w:rPr>
          <w:rFonts w:hint="eastAsia" w:ascii="宋体" w:hAnsi="宋体" w:cs="微软雅黑"/>
          <w:kern w:val="0"/>
          <w:szCs w:val="21"/>
        </w:rPr>
        <w:t>分项报价明细表</w:t>
      </w:r>
      <w:r>
        <w:rPr>
          <w:rFonts w:hint="eastAsia" w:ascii="宋体" w:hAnsi="宋体"/>
          <w:bCs/>
          <w:szCs w:val="21"/>
        </w:rPr>
        <w:t>”进行</w:t>
      </w:r>
      <w:r>
        <w:rPr>
          <w:rFonts w:hint="eastAsia" w:ascii="宋体" w:hAnsi="宋体" w:cs="微软雅黑"/>
          <w:kern w:val="0"/>
          <w:szCs w:val="21"/>
        </w:rPr>
        <w:t>编制，并说明。</w:t>
      </w:r>
    </w:p>
    <w:p>
      <w:pPr>
        <w:autoSpaceDE w:val="0"/>
        <w:autoSpaceDN w:val="0"/>
        <w:adjustRightInd w:val="0"/>
        <w:snapToGrid w:val="0"/>
        <w:spacing w:beforeLines="50" w:line="360" w:lineRule="auto"/>
        <w:ind w:firstLine="630" w:firstLineChars="300"/>
        <w:jc w:val="left"/>
        <w:rPr>
          <w:rFonts w:ascii="宋体" w:hAnsi="宋体" w:cs="微软雅黑"/>
          <w:kern w:val="0"/>
          <w:szCs w:val="21"/>
        </w:rPr>
      </w:pPr>
      <w:r>
        <w:rPr>
          <w:rFonts w:hint="eastAsia" w:ascii="宋体" w:hAnsi="宋体" w:cs="微软雅黑"/>
          <w:kern w:val="0"/>
          <w:szCs w:val="21"/>
        </w:rPr>
        <w:t>2、附件5-4</w:t>
      </w:r>
      <w:r>
        <w:rPr>
          <w:rFonts w:hint="eastAsia" w:ascii="华文中宋" w:hAnsi="华文中宋" w:eastAsia="华文中宋" w:cs="微软雅黑"/>
          <w:kern w:val="0"/>
          <w:szCs w:val="21"/>
        </w:rPr>
        <w:t>“</w:t>
      </w:r>
      <w:r>
        <w:rPr>
          <w:rFonts w:hint="eastAsia" w:ascii="宋体" w:hAnsi="宋体" w:cs="微软雅黑"/>
          <w:kern w:val="0"/>
          <w:szCs w:val="21"/>
        </w:rPr>
        <w:t>已标价工程量清单</w:t>
      </w:r>
      <w:r>
        <w:rPr>
          <w:rFonts w:hint="eastAsia" w:ascii="华文中宋" w:hAnsi="华文中宋" w:eastAsia="华文中宋" w:cs="微软雅黑"/>
          <w:kern w:val="0"/>
          <w:szCs w:val="21"/>
        </w:rPr>
        <w:t>”</w:t>
      </w:r>
      <w:r>
        <w:rPr>
          <w:rFonts w:hint="eastAsia" w:ascii="宋体" w:hAnsi="宋体" w:cs="微软雅黑"/>
          <w:kern w:val="0"/>
          <w:szCs w:val="21"/>
        </w:rPr>
        <w:t>按第二章第三节要求进行编制。</w:t>
      </w:r>
    </w:p>
    <w:p>
      <w:pPr>
        <w:autoSpaceDE w:val="0"/>
        <w:autoSpaceDN w:val="0"/>
        <w:adjustRightInd w:val="0"/>
        <w:snapToGrid w:val="0"/>
        <w:spacing w:beforeLines="50" w:line="360" w:lineRule="auto"/>
        <w:jc w:val="left"/>
        <w:rPr>
          <w:rFonts w:ascii="宋体" w:hAnsi="宋体" w:cs="微软雅黑"/>
          <w:kern w:val="0"/>
          <w:szCs w:val="21"/>
        </w:rPr>
      </w:pPr>
    </w:p>
    <w:p>
      <w:pPr>
        <w:adjustRightInd w:val="0"/>
        <w:snapToGrid w:val="0"/>
        <w:spacing w:beforeLines="50" w:line="360" w:lineRule="auto"/>
      </w:pPr>
    </w:p>
    <w:p>
      <w:pPr>
        <w:pStyle w:val="7"/>
        <w:adjustRightInd w:val="0"/>
        <w:snapToGrid w:val="0"/>
        <w:spacing w:beforeLines="50" w:after="0" w:line="360" w:lineRule="auto"/>
        <w:rPr>
          <w:rFonts w:ascii="宋体" w:hAnsi="宋体"/>
          <w:sz w:val="21"/>
          <w:szCs w:val="21"/>
        </w:rPr>
      </w:pPr>
      <w:bookmarkStart w:id="65" w:name="_Toc2123"/>
      <w:r>
        <w:rPr>
          <w:rFonts w:hint="eastAsia" w:ascii="宋体" w:hAnsi="宋体" w:cs="宋体"/>
          <w:sz w:val="21"/>
          <w:szCs w:val="21"/>
        </w:rPr>
        <w:t xml:space="preserve">附件5-3 </w:t>
      </w:r>
      <w:r>
        <w:rPr>
          <w:rFonts w:hint="eastAsia" w:ascii="宋体" w:hAnsi="宋体"/>
          <w:spacing w:val="-2"/>
          <w:position w:val="-3"/>
          <w:sz w:val="21"/>
          <w:szCs w:val="21"/>
        </w:rPr>
        <w:t>分</w:t>
      </w:r>
      <w:r>
        <w:rPr>
          <w:rFonts w:hint="eastAsia" w:ascii="宋体" w:hAnsi="宋体"/>
          <w:position w:val="-3"/>
          <w:sz w:val="21"/>
          <w:szCs w:val="21"/>
        </w:rPr>
        <w:t>项</w:t>
      </w:r>
      <w:r>
        <w:rPr>
          <w:rFonts w:hint="eastAsia" w:ascii="宋体" w:hAnsi="宋体"/>
          <w:spacing w:val="-2"/>
          <w:position w:val="-3"/>
          <w:sz w:val="21"/>
          <w:szCs w:val="21"/>
        </w:rPr>
        <w:t>报</w:t>
      </w:r>
      <w:r>
        <w:rPr>
          <w:rFonts w:hint="eastAsia" w:ascii="宋体" w:hAnsi="宋体"/>
          <w:position w:val="-3"/>
          <w:sz w:val="21"/>
          <w:szCs w:val="21"/>
        </w:rPr>
        <w:t>价明细表</w:t>
      </w:r>
      <w:bookmarkEnd w:id="65"/>
    </w:p>
    <w:p>
      <w:pPr>
        <w:adjustRightInd w:val="0"/>
        <w:snapToGrid w:val="0"/>
        <w:spacing w:beforeLines="50" w:line="360" w:lineRule="auto"/>
        <w:jc w:val="center"/>
        <w:rPr>
          <w:rFonts w:ascii="黑体" w:hAnsi="宋体" w:eastAsia="黑体" w:cs="微软雅黑"/>
          <w:b/>
          <w:kern w:val="0"/>
          <w:position w:val="-3"/>
          <w:sz w:val="28"/>
          <w:szCs w:val="28"/>
        </w:rPr>
      </w:pPr>
      <w:r>
        <w:rPr>
          <w:rFonts w:hint="eastAsia" w:ascii="黑体" w:hAnsi="宋体" w:eastAsia="黑体" w:cs="微软雅黑"/>
          <w:b/>
          <w:spacing w:val="-2"/>
          <w:kern w:val="0"/>
          <w:position w:val="-3"/>
          <w:sz w:val="28"/>
          <w:szCs w:val="28"/>
        </w:rPr>
        <w:t>分</w:t>
      </w:r>
      <w:r>
        <w:rPr>
          <w:rFonts w:hint="eastAsia" w:ascii="黑体" w:hAnsi="宋体" w:eastAsia="黑体" w:cs="微软雅黑"/>
          <w:b/>
          <w:kern w:val="0"/>
          <w:position w:val="-3"/>
          <w:sz w:val="28"/>
          <w:szCs w:val="28"/>
        </w:rPr>
        <w:t>项</w:t>
      </w:r>
      <w:r>
        <w:rPr>
          <w:rFonts w:hint="eastAsia" w:ascii="黑体" w:hAnsi="宋体" w:eastAsia="黑体" w:cs="微软雅黑"/>
          <w:b/>
          <w:spacing w:val="-2"/>
          <w:kern w:val="0"/>
          <w:position w:val="-3"/>
          <w:sz w:val="28"/>
          <w:szCs w:val="28"/>
        </w:rPr>
        <w:t>报</w:t>
      </w:r>
      <w:r>
        <w:rPr>
          <w:rFonts w:hint="eastAsia" w:ascii="黑体" w:hAnsi="宋体" w:eastAsia="黑体" w:cs="微软雅黑"/>
          <w:b/>
          <w:kern w:val="0"/>
          <w:position w:val="-3"/>
          <w:sz w:val="28"/>
          <w:szCs w:val="28"/>
        </w:rPr>
        <w:t>价明细表</w:t>
      </w:r>
    </w:p>
    <w:p>
      <w:pPr>
        <w:adjustRightInd w:val="0"/>
        <w:snapToGrid w:val="0"/>
        <w:spacing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p>
    <w:p>
      <w:pPr>
        <w:adjustRightInd w:val="0"/>
        <w:snapToGrid w:val="0"/>
        <w:spacing w:line="360" w:lineRule="auto"/>
        <w:rPr>
          <w:rFonts w:ascii="宋体" w:hAnsi="宋体"/>
          <w:szCs w:val="21"/>
        </w:rPr>
      </w:pPr>
      <w:r>
        <w:rPr>
          <w:rFonts w:hint="eastAsia" w:ascii="宋体" w:hAnsi="宋体"/>
          <w:szCs w:val="21"/>
        </w:rPr>
        <w:t>包号：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 xml:space="preserve">__    ________  </w:t>
      </w:r>
    </w:p>
    <w:tbl>
      <w:tblPr>
        <w:tblStyle w:val="43"/>
        <w:tblW w:w="8874" w:type="dxa"/>
        <w:tblInd w:w="0" w:type="dxa"/>
        <w:tblLayout w:type="fixed"/>
        <w:tblCellMar>
          <w:top w:w="0" w:type="dxa"/>
          <w:left w:w="0" w:type="dxa"/>
          <w:bottom w:w="0" w:type="dxa"/>
          <w:right w:w="0" w:type="dxa"/>
        </w:tblCellMar>
      </w:tblPr>
      <w:tblGrid>
        <w:gridCol w:w="333"/>
        <w:gridCol w:w="1383"/>
        <w:gridCol w:w="2126"/>
        <w:gridCol w:w="1200"/>
        <w:gridCol w:w="1092"/>
        <w:gridCol w:w="910"/>
        <w:gridCol w:w="916"/>
        <w:gridCol w:w="914"/>
      </w:tblGrid>
      <w:tr>
        <w:tblPrEx>
          <w:tblCellMar>
            <w:top w:w="0" w:type="dxa"/>
            <w:left w:w="0" w:type="dxa"/>
            <w:bottom w:w="0" w:type="dxa"/>
            <w:right w:w="0" w:type="dxa"/>
          </w:tblCellMar>
        </w:tblPrEx>
        <w:trPr>
          <w:trHeight w:val="415" w:hRule="exact"/>
        </w:trPr>
        <w:tc>
          <w:tcPr>
            <w:tcW w:w="1716"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分项项目名称</w:t>
            </w:r>
          </w:p>
        </w:tc>
        <w:tc>
          <w:tcPr>
            <w:tcW w:w="2126"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规格型号</w:t>
            </w:r>
          </w:p>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（或项目特征描述</w:t>
            </w:r>
            <w:r>
              <w:rPr>
                <w:rFonts w:ascii="宋体" w:hAnsi="宋体"/>
                <w:szCs w:val="21"/>
              </w:rPr>
              <w:t>）</w:t>
            </w:r>
          </w:p>
        </w:tc>
        <w:tc>
          <w:tcPr>
            <w:tcW w:w="1200" w:type="dxa"/>
            <w:vMerge w:val="restart"/>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品牌/产地</w:t>
            </w:r>
          </w:p>
        </w:tc>
        <w:tc>
          <w:tcPr>
            <w:tcW w:w="1092"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kern w:val="0"/>
                <w:szCs w:val="21"/>
              </w:rPr>
              <w:t>数量/单位</w:t>
            </w:r>
          </w:p>
        </w:tc>
        <w:tc>
          <w:tcPr>
            <w:tcW w:w="1826"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金额（元）</w:t>
            </w:r>
          </w:p>
        </w:tc>
        <w:tc>
          <w:tcPr>
            <w:tcW w:w="914"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ascii="宋体" w:hAnsi="宋体" w:cs="微软雅黑"/>
                <w:kern w:val="0"/>
                <w:position w:val="-1"/>
                <w:szCs w:val="21"/>
              </w:rPr>
            </w:pPr>
            <w:r>
              <w:rPr>
                <w:rFonts w:hint="eastAsia" w:ascii="宋体" w:hAnsi="宋体" w:cs="微软雅黑"/>
                <w:kern w:val="0"/>
                <w:position w:val="-1"/>
                <w:szCs w:val="21"/>
              </w:rPr>
              <w:t>备注</w:t>
            </w:r>
          </w:p>
        </w:tc>
      </w:tr>
      <w:tr>
        <w:tblPrEx>
          <w:tblCellMar>
            <w:top w:w="0" w:type="dxa"/>
            <w:left w:w="0" w:type="dxa"/>
            <w:bottom w:w="0" w:type="dxa"/>
            <w:right w:w="0" w:type="dxa"/>
          </w:tblCellMar>
        </w:tblPrEx>
        <w:trPr>
          <w:trHeight w:val="415" w:hRule="exact"/>
        </w:trPr>
        <w:tc>
          <w:tcPr>
            <w:tcW w:w="1716"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宋体" w:hAnsi="宋体"/>
                <w:kern w:val="0"/>
                <w:szCs w:val="21"/>
              </w:rPr>
            </w:pPr>
          </w:p>
        </w:tc>
        <w:tc>
          <w:tcPr>
            <w:tcW w:w="2126"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200" w:type="dxa"/>
            <w:vMerge w:val="continue"/>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1092"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p>
        </w:tc>
        <w:tc>
          <w:tcPr>
            <w:tcW w:w="91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kern w:val="0"/>
                <w:szCs w:val="21"/>
              </w:rPr>
            </w:pPr>
            <w:r>
              <w:rPr>
                <w:rFonts w:hint="eastAsia" w:ascii="宋体" w:hAnsi="宋体" w:cs="微软雅黑"/>
                <w:kern w:val="0"/>
                <w:position w:val="-1"/>
                <w:szCs w:val="21"/>
              </w:rPr>
              <w:t>单价</w:t>
            </w:r>
          </w:p>
        </w:tc>
        <w:tc>
          <w:tcPr>
            <w:tcW w:w="916"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宋体" w:hAnsi="宋体"/>
                <w:kern w:val="0"/>
                <w:szCs w:val="21"/>
              </w:rPr>
            </w:pPr>
            <w:r>
              <w:rPr>
                <w:rFonts w:hint="eastAsia" w:ascii="宋体" w:hAnsi="宋体"/>
                <w:kern w:val="0"/>
                <w:szCs w:val="21"/>
              </w:rPr>
              <w:t>小计</w:t>
            </w:r>
          </w:p>
        </w:tc>
        <w:tc>
          <w:tcPr>
            <w:tcW w:w="914"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宋体" w:hAnsi="宋体"/>
                <w:kern w:val="0"/>
                <w:szCs w:val="21"/>
              </w:rPr>
            </w:pPr>
          </w:p>
        </w:tc>
      </w:tr>
      <w:tr>
        <w:tblPrEx>
          <w:tblCellMar>
            <w:top w:w="0" w:type="dxa"/>
            <w:left w:w="0" w:type="dxa"/>
            <w:bottom w:w="0" w:type="dxa"/>
            <w:right w:w="0" w:type="dxa"/>
          </w:tblCellMar>
        </w:tblPrEx>
        <w:trPr>
          <w:trHeight w:val="378"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1</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2</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3</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4</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rPr>
                <w:rFonts w:ascii="宋体" w:hAnsi="宋体" w:cs="宋体"/>
              </w:rPr>
            </w:pPr>
            <w:r>
              <w:rPr>
                <w:rFonts w:hint="eastAsia" w:ascii="宋体" w:hAnsi="宋体" w:cs="宋体"/>
              </w:rPr>
              <w:t>5</w:t>
            </w:r>
          </w:p>
        </w:tc>
        <w:tc>
          <w:tcPr>
            <w:tcW w:w="13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333"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383"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宋体" w:hAnsi="宋体"/>
                <w:kern w:val="0"/>
                <w:szCs w:val="21"/>
              </w:rPr>
            </w:pPr>
          </w:p>
        </w:tc>
        <w:tc>
          <w:tcPr>
            <w:tcW w:w="2126"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120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1092"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kern w:val="0"/>
                <w:szCs w:val="21"/>
              </w:rPr>
            </w:pPr>
          </w:p>
        </w:tc>
        <w:tc>
          <w:tcPr>
            <w:tcW w:w="910"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6"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r>
        <w:tblPrEx>
          <w:tblCellMar>
            <w:top w:w="0" w:type="dxa"/>
            <w:left w:w="0" w:type="dxa"/>
            <w:bottom w:w="0" w:type="dxa"/>
            <w:right w:w="0" w:type="dxa"/>
          </w:tblCellMar>
        </w:tblPrEx>
        <w:trPr>
          <w:trHeight w:val="415" w:hRule="exact"/>
        </w:trPr>
        <w:tc>
          <w:tcPr>
            <w:tcW w:w="7044" w:type="dxa"/>
            <w:gridSpan w:val="6"/>
            <w:tcBorders>
              <w:top w:val="single" w:color="auto" w:sz="6" w:space="0"/>
              <w:left w:val="double" w:color="auto" w:sz="4" w:space="0"/>
              <w:bottom w:val="double" w:color="auto" w:sz="4" w:space="0"/>
              <w:right w:val="single" w:color="auto" w:sz="6" w:space="0"/>
            </w:tcBorders>
            <w:vAlign w:val="center"/>
          </w:tcPr>
          <w:p>
            <w:pPr>
              <w:autoSpaceDE w:val="0"/>
              <w:autoSpaceDN w:val="0"/>
              <w:adjustRightInd w:val="0"/>
              <w:snapToGrid w:val="0"/>
              <w:spacing w:line="360" w:lineRule="auto"/>
              <w:jc w:val="center"/>
              <w:rPr>
                <w:rFonts w:ascii="宋体" w:hAnsi="宋体"/>
                <w:kern w:val="0"/>
                <w:szCs w:val="21"/>
              </w:rPr>
            </w:pPr>
            <w:r>
              <w:rPr>
                <w:rFonts w:hint="eastAsia" w:ascii="宋体" w:hAnsi="宋体" w:cs="微软雅黑"/>
                <w:kern w:val="0"/>
                <w:position w:val="-1"/>
                <w:szCs w:val="21"/>
              </w:rPr>
              <w:t>报价（元）：</w:t>
            </w:r>
          </w:p>
        </w:tc>
        <w:tc>
          <w:tcPr>
            <w:tcW w:w="916" w:type="dxa"/>
            <w:tcBorders>
              <w:top w:val="single" w:color="auto" w:sz="6" w:space="0"/>
              <w:left w:val="single" w:color="auto" w:sz="6" w:space="0"/>
              <w:bottom w:val="double" w:color="auto" w:sz="4" w:space="0"/>
              <w:right w:val="single" w:color="auto" w:sz="6" w:space="0"/>
            </w:tcBorders>
          </w:tcPr>
          <w:p>
            <w:pPr>
              <w:autoSpaceDE w:val="0"/>
              <w:autoSpaceDN w:val="0"/>
              <w:adjustRightInd w:val="0"/>
              <w:snapToGrid w:val="0"/>
              <w:spacing w:line="360" w:lineRule="auto"/>
              <w:jc w:val="left"/>
              <w:rPr>
                <w:rFonts w:ascii="宋体" w:hAnsi="宋体"/>
                <w:kern w:val="0"/>
                <w:szCs w:val="21"/>
              </w:rPr>
            </w:pPr>
          </w:p>
        </w:tc>
        <w:tc>
          <w:tcPr>
            <w:tcW w:w="914" w:type="dxa"/>
            <w:tcBorders>
              <w:top w:val="single" w:color="auto" w:sz="6" w:space="0"/>
              <w:left w:val="single" w:color="auto" w:sz="6" w:space="0"/>
              <w:bottom w:val="double" w:color="auto" w:sz="4" w:space="0"/>
              <w:right w:val="double" w:color="auto" w:sz="4" w:space="0"/>
            </w:tcBorders>
          </w:tcPr>
          <w:p>
            <w:pPr>
              <w:autoSpaceDE w:val="0"/>
              <w:autoSpaceDN w:val="0"/>
              <w:adjustRightInd w:val="0"/>
              <w:snapToGrid w:val="0"/>
              <w:spacing w:line="360" w:lineRule="auto"/>
              <w:jc w:val="left"/>
              <w:rPr>
                <w:rFonts w:ascii="宋体" w:hAnsi="宋体"/>
                <w:kern w:val="0"/>
                <w:szCs w:val="21"/>
              </w:rPr>
            </w:pPr>
          </w:p>
        </w:tc>
      </w:tr>
    </w:tbl>
    <w:p>
      <w:pPr>
        <w:adjustRightInd w:val="0"/>
        <w:snapToGrid w:val="0"/>
        <w:spacing w:line="360" w:lineRule="auto"/>
        <w:rPr>
          <w:rFonts w:ascii="宋体" w:hAnsi="宋体"/>
          <w:szCs w:val="21"/>
        </w:rPr>
      </w:pPr>
      <w:r>
        <w:rPr>
          <w:rFonts w:hint="eastAsia" w:ascii="宋体" w:hAnsi="宋体"/>
          <w:szCs w:val="21"/>
        </w:rPr>
        <w:t>备注：（1）</w:t>
      </w:r>
      <w:r>
        <w:rPr>
          <w:rFonts w:hint="eastAsia" w:ascii="宋体" w:hAnsi="宋体"/>
          <w:b/>
          <w:szCs w:val="21"/>
        </w:rPr>
        <w:t>本表应对应</w:t>
      </w:r>
      <w:r>
        <w:rPr>
          <w:rFonts w:hint="eastAsia" w:ascii="宋体" w:hAnsi="宋体"/>
          <w:szCs w:val="21"/>
        </w:rPr>
        <w:t>“</w:t>
      </w:r>
      <w:r>
        <w:rPr>
          <w:rFonts w:hint="eastAsia" w:ascii="宋体" w:hAnsi="宋体"/>
          <w:b/>
          <w:szCs w:val="21"/>
        </w:rPr>
        <w:t>报价表</w:t>
      </w:r>
      <w:r>
        <w:rPr>
          <w:rFonts w:hint="eastAsia" w:ascii="宋体" w:hAnsi="宋体"/>
          <w:szCs w:val="21"/>
        </w:rPr>
        <w:t>”</w:t>
      </w:r>
      <w:r>
        <w:rPr>
          <w:rFonts w:hint="eastAsia" w:ascii="宋体" w:hAnsi="宋体"/>
          <w:b/>
          <w:szCs w:val="21"/>
        </w:rPr>
        <w:t>，按包填写</w:t>
      </w:r>
      <w:r>
        <w:rPr>
          <w:rFonts w:hint="eastAsia" w:ascii="宋体" w:hAnsi="宋体"/>
          <w:szCs w:val="21"/>
        </w:rPr>
        <w:t>。供应商如果不提供分项报价明细表，其</w:t>
      </w:r>
      <w:r>
        <w:rPr>
          <w:rFonts w:hint="eastAsia" w:ascii="宋体" w:hAnsi="宋体"/>
          <w:b/>
          <w:szCs w:val="21"/>
        </w:rPr>
        <w:t>响应无效</w:t>
      </w:r>
      <w:r>
        <w:rPr>
          <w:rFonts w:hint="eastAsia" w:ascii="宋体" w:hAnsi="宋体"/>
          <w:szCs w:val="21"/>
        </w:rPr>
        <w:t>。</w:t>
      </w:r>
    </w:p>
    <w:p>
      <w:pPr>
        <w:adjustRightInd w:val="0"/>
        <w:snapToGrid w:val="0"/>
        <w:spacing w:line="360" w:lineRule="auto"/>
        <w:ind w:firstLine="420" w:firstLineChars="200"/>
        <w:rPr>
          <w:rFonts w:ascii="宋体" w:hAnsi="宋体"/>
          <w:szCs w:val="21"/>
        </w:rPr>
      </w:pPr>
      <w:r>
        <w:rPr>
          <w:rFonts w:hint="eastAsia" w:ascii="宋体" w:hAnsi="宋体"/>
          <w:szCs w:val="21"/>
        </w:rPr>
        <w:t>（2）不得填写“免费”或“赠与”，也不得进行“零”报价，否则</w:t>
      </w:r>
      <w:r>
        <w:rPr>
          <w:rFonts w:hint="eastAsia" w:ascii="宋体" w:hAnsi="宋体"/>
          <w:b/>
          <w:szCs w:val="21"/>
        </w:rPr>
        <w:t>响应无效</w:t>
      </w:r>
      <w:r>
        <w:rPr>
          <w:rFonts w:hint="eastAsia" w:ascii="宋体" w:hAnsi="宋体"/>
          <w:szCs w:val="21"/>
        </w:rPr>
        <w:t>。</w:t>
      </w:r>
    </w:p>
    <w:p>
      <w:pPr>
        <w:adjustRightInd w:val="0"/>
        <w:snapToGrid w:val="0"/>
        <w:spacing w:line="360" w:lineRule="auto"/>
        <w:ind w:firstLine="422" w:firstLineChars="200"/>
        <w:rPr>
          <w:rFonts w:ascii="宋体" w:hAnsi="宋体"/>
          <w:b/>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pPr>
        <w:adjustRightInd w:val="0"/>
        <w:snapToGrid w:val="0"/>
        <w:spacing w:line="360" w:lineRule="auto"/>
        <w:rPr>
          <w:rFonts w:ascii="黑体" w:hAnsi="黑体" w:eastAsia="黑体"/>
          <w:bCs/>
          <w:sz w:val="30"/>
          <w:szCs w:val="30"/>
        </w:rPr>
      </w:pPr>
      <w:r>
        <w:rPr>
          <w:rFonts w:hint="eastAsia" w:ascii="宋体" w:hAnsi="宋体"/>
          <w:szCs w:val="21"/>
        </w:rPr>
        <w:t>日期：年月日</w:t>
      </w:r>
    </w:p>
    <w:p>
      <w:pPr>
        <w:pStyle w:val="6"/>
        <w:jc w:val="center"/>
      </w:pPr>
      <w:r>
        <w:br w:type="page"/>
      </w:r>
      <w:bookmarkStart w:id="66" w:name="_Toc22201157"/>
      <w:bookmarkStart w:id="67" w:name="_Toc23062"/>
      <w:r>
        <w:rPr>
          <w:rFonts w:hint="eastAsia" w:ascii="黑体" w:hAnsi="黑体" w:eastAsia="黑体"/>
          <w:sz w:val="28"/>
          <w:szCs w:val="28"/>
        </w:rPr>
        <w:t>六、采购需求的响应</w:t>
      </w:r>
      <w:bookmarkEnd w:id="66"/>
      <w:bookmarkEnd w:id="67"/>
    </w:p>
    <w:p>
      <w:pPr>
        <w:adjustRightInd w:val="0"/>
        <w:snapToGrid w:val="0"/>
        <w:spacing w:line="360" w:lineRule="auto"/>
        <w:rPr>
          <w:rFonts w:ascii="宋体" w:hAnsi="宋体"/>
          <w:b/>
          <w:szCs w:val="21"/>
        </w:rPr>
      </w:pPr>
    </w:p>
    <w:p>
      <w:pPr>
        <w:adjustRightInd w:val="0"/>
        <w:snapToGrid w:val="0"/>
        <w:spacing w:line="360" w:lineRule="auto"/>
        <w:rPr>
          <w:b/>
        </w:rPr>
      </w:pPr>
      <w:r>
        <w:rPr>
          <w:rFonts w:hint="eastAsia" w:ascii="宋体" w:hAnsi="宋体"/>
          <w:b/>
          <w:szCs w:val="21"/>
        </w:rPr>
        <w:t>编制说明</w:t>
      </w:r>
      <w:r>
        <w:rPr>
          <w:rFonts w:hint="eastAsia" w:ascii="宋体" w:hAnsi="宋体"/>
          <w:bCs/>
          <w:szCs w:val="21"/>
        </w:rPr>
        <w:t>：</w:t>
      </w:r>
      <w:r>
        <w:rPr>
          <w:rFonts w:hint="eastAsia"/>
          <w:b/>
        </w:rPr>
        <w:t>供应商应按谈判文件第三章采购需求自行编写采购需求响应文件（其内容可包括，且不限于详细的技术指标和性能、售后服务和技术服务的组织及保证措施等，格式自拟）。</w:t>
      </w:r>
    </w:p>
    <w:p/>
    <w:p>
      <w:pPr>
        <w:pStyle w:val="26"/>
        <w:tabs>
          <w:tab w:val="left" w:pos="6208"/>
        </w:tabs>
        <w:adjustRightInd w:val="0"/>
        <w:snapToGrid w:val="0"/>
        <w:spacing w:line="360" w:lineRule="auto"/>
        <w:ind w:left="-88" w:leftChars="-42"/>
        <w:rPr>
          <w:rFonts w:ascii="宋体" w:hAnsi="宋体"/>
          <w:bCs/>
          <w:sz w:val="21"/>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u w:val="single"/>
        </w:rPr>
      </w:pPr>
      <w:r>
        <w:rPr>
          <w:rFonts w:hint="eastAsia" w:ascii="宋体" w:hAnsi="宋体"/>
          <w:color w:val="000000"/>
          <w:szCs w:val="21"/>
        </w:rPr>
        <w:t>法定代表人（单位负责人）（签字或印章）或其授权的代理人（签字）</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日期：年月日</w:t>
      </w:r>
    </w:p>
    <w:p/>
    <w:p/>
    <w:p>
      <w:pPr>
        <w:pStyle w:val="7"/>
        <w:rPr>
          <w:rFonts w:ascii="宋体" w:hAnsi="宋体"/>
          <w:sz w:val="21"/>
          <w:szCs w:val="21"/>
        </w:rPr>
      </w:pPr>
      <w:bookmarkStart w:id="68" w:name="_Toc22201158"/>
      <w:bookmarkStart w:id="69" w:name="_Toc28051"/>
      <w:r>
        <w:rPr>
          <w:rFonts w:hint="eastAsia" w:ascii="宋体" w:hAnsi="宋体"/>
          <w:sz w:val="21"/>
          <w:szCs w:val="21"/>
        </w:rPr>
        <w:t>附件6-1 响应-览表</w:t>
      </w:r>
      <w:bookmarkEnd w:id="68"/>
      <w:bookmarkEnd w:id="69"/>
    </w:p>
    <w:p>
      <w:pPr>
        <w:adjustRightInd w:val="0"/>
        <w:snapToGrid w:val="0"/>
        <w:spacing w:beforeLines="50" w:line="360" w:lineRule="auto"/>
        <w:jc w:val="center"/>
        <w:rPr>
          <w:rFonts w:ascii="黑体" w:hAnsi="黑体" w:eastAsia="黑体"/>
          <w:b/>
          <w:bCs/>
          <w:sz w:val="28"/>
          <w:szCs w:val="28"/>
        </w:rPr>
      </w:pPr>
      <w:r>
        <w:rPr>
          <w:rFonts w:hint="eastAsia" w:ascii="黑体" w:hAnsi="黑体" w:eastAsia="黑体"/>
          <w:b/>
          <w:bCs/>
          <w:sz w:val="28"/>
          <w:szCs w:val="28"/>
        </w:rPr>
        <w:t>响应-览表</w:t>
      </w:r>
    </w:p>
    <w:p>
      <w:pPr>
        <w:jc w:val="center"/>
        <w:rPr>
          <w:rFonts w:ascii="宋体" w:hAnsi="宋体"/>
          <w:szCs w:val="21"/>
        </w:rPr>
      </w:pPr>
    </w:p>
    <w:tbl>
      <w:tblPr>
        <w:tblStyle w:val="43"/>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29"/>
        <w:gridCol w:w="957"/>
        <w:gridCol w:w="2124"/>
        <w:gridCol w:w="2127"/>
        <w:gridCol w:w="992"/>
        <w:gridCol w:w="709"/>
        <w:gridCol w:w="751"/>
        <w:gridCol w:w="9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6" w:hRule="atLeast"/>
        </w:trPr>
        <w:tc>
          <w:tcPr>
            <w:tcW w:w="429" w:type="dxa"/>
            <w:vMerge w:val="restart"/>
            <w:vAlign w:val="center"/>
          </w:tcPr>
          <w:p>
            <w:pPr>
              <w:jc w:val="center"/>
              <w:rPr>
                <w:szCs w:val="21"/>
              </w:rPr>
            </w:pPr>
            <w:r>
              <w:rPr>
                <w:rFonts w:hint="eastAsia"/>
                <w:szCs w:val="21"/>
              </w:rPr>
              <w:t xml:space="preserve">包号 </w:t>
            </w:r>
          </w:p>
        </w:tc>
        <w:tc>
          <w:tcPr>
            <w:tcW w:w="957" w:type="dxa"/>
            <w:vMerge w:val="restart"/>
            <w:tcBorders>
              <w:right w:val="single" w:color="auto" w:sz="4" w:space="0"/>
            </w:tcBorders>
            <w:vAlign w:val="center"/>
          </w:tcPr>
          <w:p>
            <w:pPr>
              <w:jc w:val="center"/>
              <w:rPr>
                <w:szCs w:val="21"/>
              </w:rPr>
            </w:pPr>
            <w:r>
              <w:rPr>
                <w:rFonts w:hint="eastAsia"/>
                <w:szCs w:val="21"/>
              </w:rPr>
              <w:t>包名称</w:t>
            </w:r>
          </w:p>
        </w:tc>
        <w:tc>
          <w:tcPr>
            <w:tcW w:w="2124" w:type="dxa"/>
            <w:vMerge w:val="restart"/>
            <w:tcBorders>
              <w:left w:val="single" w:color="auto" w:sz="4" w:space="0"/>
            </w:tcBorders>
            <w:vAlign w:val="center"/>
          </w:tcPr>
          <w:p>
            <w:pPr>
              <w:jc w:val="center"/>
              <w:rPr>
                <w:szCs w:val="21"/>
              </w:rPr>
            </w:pPr>
            <w:r>
              <w:rPr>
                <w:rFonts w:hint="eastAsia"/>
                <w:szCs w:val="21"/>
              </w:rPr>
              <w:t>分项项目名称</w:t>
            </w:r>
          </w:p>
          <w:p>
            <w:pPr>
              <w:jc w:val="center"/>
              <w:rPr>
                <w:szCs w:val="21"/>
              </w:rPr>
            </w:pPr>
            <w:r>
              <w:rPr>
                <w:rFonts w:hint="eastAsia"/>
                <w:szCs w:val="21"/>
              </w:rPr>
              <w:t>（条目号/品目名称）</w:t>
            </w:r>
          </w:p>
        </w:tc>
        <w:tc>
          <w:tcPr>
            <w:tcW w:w="2127" w:type="dxa"/>
            <w:vMerge w:val="restart"/>
            <w:vAlign w:val="center"/>
          </w:tcPr>
          <w:p>
            <w:pPr>
              <w:jc w:val="center"/>
              <w:rPr>
                <w:szCs w:val="21"/>
              </w:rPr>
            </w:pPr>
            <w:r>
              <w:rPr>
                <w:rFonts w:hint="eastAsia"/>
                <w:szCs w:val="21"/>
              </w:rPr>
              <w:t>主要技术参数或规格</w:t>
            </w:r>
          </w:p>
        </w:tc>
        <w:tc>
          <w:tcPr>
            <w:tcW w:w="992" w:type="dxa"/>
            <w:vMerge w:val="restart"/>
            <w:vAlign w:val="center"/>
          </w:tcPr>
          <w:p>
            <w:pPr>
              <w:jc w:val="center"/>
              <w:rPr>
                <w:szCs w:val="21"/>
              </w:rPr>
            </w:pPr>
            <w:r>
              <w:rPr>
                <w:rFonts w:hint="eastAsia"/>
                <w:szCs w:val="21"/>
              </w:rPr>
              <w:t>数量</w:t>
            </w:r>
          </w:p>
          <w:p>
            <w:pPr>
              <w:jc w:val="center"/>
              <w:rPr>
                <w:szCs w:val="21"/>
              </w:rPr>
            </w:pPr>
            <w:r>
              <w:rPr>
                <w:rFonts w:hint="eastAsia"/>
                <w:szCs w:val="21"/>
              </w:rPr>
              <w:t>（台套）</w:t>
            </w:r>
          </w:p>
        </w:tc>
        <w:tc>
          <w:tcPr>
            <w:tcW w:w="1460" w:type="dxa"/>
            <w:gridSpan w:val="2"/>
            <w:vAlign w:val="center"/>
          </w:tcPr>
          <w:p>
            <w:pPr>
              <w:jc w:val="center"/>
              <w:rPr>
                <w:szCs w:val="21"/>
              </w:rPr>
            </w:pPr>
            <w:r>
              <w:rPr>
                <w:rFonts w:hint="eastAsia"/>
                <w:szCs w:val="21"/>
              </w:rPr>
              <w:t>交货</w:t>
            </w:r>
          </w:p>
        </w:tc>
        <w:tc>
          <w:tcPr>
            <w:tcW w:w="971" w:type="dxa"/>
            <w:vMerge w:val="restart"/>
            <w:vAlign w:val="center"/>
          </w:tcPr>
          <w:p>
            <w:pPr>
              <w:jc w:val="center"/>
              <w:rPr>
                <w:szCs w:val="21"/>
              </w:rPr>
            </w:pPr>
            <w:r>
              <w:rPr>
                <w:rFonts w:hint="eastAsia"/>
                <w:szCs w:val="21"/>
              </w:rPr>
              <w:t>备注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64" w:hRule="atLeast"/>
        </w:trPr>
        <w:tc>
          <w:tcPr>
            <w:tcW w:w="429" w:type="dxa"/>
            <w:vMerge w:val="continue"/>
            <w:vAlign w:val="center"/>
          </w:tcPr>
          <w:p>
            <w:pPr>
              <w:jc w:val="center"/>
              <w:rPr>
                <w:szCs w:val="21"/>
              </w:rPr>
            </w:pPr>
          </w:p>
        </w:tc>
        <w:tc>
          <w:tcPr>
            <w:tcW w:w="957" w:type="dxa"/>
            <w:vMerge w:val="continue"/>
            <w:tcBorders>
              <w:right w:val="single" w:color="auto" w:sz="4" w:space="0"/>
            </w:tcBorders>
            <w:vAlign w:val="center"/>
          </w:tcPr>
          <w:p>
            <w:pPr>
              <w:jc w:val="center"/>
              <w:rPr>
                <w:szCs w:val="21"/>
              </w:rPr>
            </w:pPr>
          </w:p>
        </w:tc>
        <w:tc>
          <w:tcPr>
            <w:tcW w:w="2124" w:type="dxa"/>
            <w:vMerge w:val="continue"/>
            <w:tcBorders>
              <w:left w:val="single" w:color="auto" w:sz="4" w:space="0"/>
            </w:tcBorders>
            <w:vAlign w:val="center"/>
          </w:tcPr>
          <w:p>
            <w:pPr>
              <w:jc w:val="center"/>
              <w:rPr>
                <w:szCs w:val="21"/>
              </w:rPr>
            </w:pPr>
          </w:p>
        </w:tc>
        <w:tc>
          <w:tcPr>
            <w:tcW w:w="2127" w:type="dxa"/>
            <w:vMerge w:val="continue"/>
            <w:vAlign w:val="center"/>
          </w:tcPr>
          <w:p>
            <w:pPr>
              <w:jc w:val="center"/>
              <w:rPr>
                <w:szCs w:val="21"/>
              </w:rPr>
            </w:pPr>
          </w:p>
        </w:tc>
        <w:tc>
          <w:tcPr>
            <w:tcW w:w="992" w:type="dxa"/>
            <w:vMerge w:val="continue"/>
            <w:vAlign w:val="center"/>
          </w:tcPr>
          <w:p>
            <w:pPr>
              <w:jc w:val="center"/>
              <w:rPr>
                <w:szCs w:val="21"/>
              </w:rPr>
            </w:pPr>
          </w:p>
        </w:tc>
        <w:tc>
          <w:tcPr>
            <w:tcW w:w="709" w:type="dxa"/>
            <w:vAlign w:val="center"/>
          </w:tcPr>
          <w:p>
            <w:pPr>
              <w:jc w:val="center"/>
              <w:rPr>
                <w:szCs w:val="21"/>
              </w:rPr>
            </w:pPr>
            <w:r>
              <w:rPr>
                <w:rFonts w:hint="eastAsia"/>
                <w:szCs w:val="21"/>
              </w:rPr>
              <w:t>时间</w:t>
            </w:r>
          </w:p>
        </w:tc>
        <w:tc>
          <w:tcPr>
            <w:tcW w:w="751" w:type="dxa"/>
            <w:vAlign w:val="center"/>
          </w:tcPr>
          <w:p>
            <w:pPr>
              <w:jc w:val="center"/>
              <w:rPr>
                <w:szCs w:val="21"/>
              </w:rPr>
            </w:pPr>
            <w:r>
              <w:rPr>
                <w:rFonts w:hint="eastAsia"/>
                <w:szCs w:val="21"/>
              </w:rPr>
              <w:t>地点</w:t>
            </w:r>
          </w:p>
        </w:tc>
        <w:tc>
          <w:tcPr>
            <w:tcW w:w="971" w:type="dxa"/>
            <w:vMerge w:val="continue"/>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bottom w:val="single" w:color="auto" w:sz="4" w:space="0"/>
            </w:tcBorders>
          </w:tcPr>
          <w:p>
            <w:pPr>
              <w:rPr>
                <w:szCs w:val="21"/>
              </w:rPr>
            </w:pPr>
          </w:p>
        </w:tc>
        <w:tc>
          <w:tcPr>
            <w:tcW w:w="751" w:type="dxa"/>
            <w:tcBorders>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bottom w:val="single" w:color="auto" w:sz="4" w:space="0"/>
            </w:tcBorders>
          </w:tcPr>
          <w:p>
            <w:pPr>
              <w:rPr>
                <w:szCs w:val="21"/>
              </w:rPr>
            </w:pPr>
          </w:p>
        </w:tc>
        <w:tc>
          <w:tcPr>
            <w:tcW w:w="751" w:type="dxa"/>
            <w:tcBorders>
              <w:top w:val="single" w:color="auto" w:sz="4" w:space="0"/>
              <w:bottom w:val="single" w:color="auto" w:sz="4" w:space="0"/>
            </w:tcBorders>
          </w:tcPr>
          <w:p>
            <w:pPr>
              <w:rPr>
                <w:szCs w:val="21"/>
              </w:rPr>
            </w:pPr>
          </w:p>
        </w:tc>
        <w:tc>
          <w:tcPr>
            <w:tcW w:w="971" w:type="dxa"/>
          </w:tcPr>
          <w:p>
            <w:pPr>
              <w:rPr>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20" w:hRule="atLeast"/>
        </w:trPr>
        <w:tc>
          <w:tcPr>
            <w:tcW w:w="429" w:type="dxa"/>
          </w:tcPr>
          <w:p>
            <w:pPr>
              <w:rPr>
                <w:szCs w:val="21"/>
              </w:rPr>
            </w:pPr>
          </w:p>
        </w:tc>
        <w:tc>
          <w:tcPr>
            <w:tcW w:w="957" w:type="dxa"/>
            <w:tcBorders>
              <w:right w:val="single" w:color="auto" w:sz="4" w:space="0"/>
            </w:tcBorders>
          </w:tcPr>
          <w:p>
            <w:pPr>
              <w:rPr>
                <w:szCs w:val="21"/>
              </w:rPr>
            </w:pPr>
          </w:p>
        </w:tc>
        <w:tc>
          <w:tcPr>
            <w:tcW w:w="2124" w:type="dxa"/>
            <w:tcBorders>
              <w:left w:val="single" w:color="auto" w:sz="4" w:space="0"/>
            </w:tcBorders>
          </w:tcPr>
          <w:p>
            <w:pPr>
              <w:rPr>
                <w:szCs w:val="21"/>
              </w:rPr>
            </w:pPr>
          </w:p>
        </w:tc>
        <w:tc>
          <w:tcPr>
            <w:tcW w:w="2127" w:type="dxa"/>
          </w:tcPr>
          <w:p>
            <w:pPr>
              <w:rPr>
                <w:szCs w:val="21"/>
              </w:rPr>
            </w:pPr>
          </w:p>
        </w:tc>
        <w:tc>
          <w:tcPr>
            <w:tcW w:w="992" w:type="dxa"/>
          </w:tcPr>
          <w:p>
            <w:pPr>
              <w:rPr>
                <w:szCs w:val="21"/>
              </w:rPr>
            </w:pPr>
          </w:p>
        </w:tc>
        <w:tc>
          <w:tcPr>
            <w:tcW w:w="709" w:type="dxa"/>
            <w:tcBorders>
              <w:top w:val="single" w:color="auto" w:sz="4" w:space="0"/>
            </w:tcBorders>
          </w:tcPr>
          <w:p>
            <w:pPr>
              <w:rPr>
                <w:szCs w:val="21"/>
              </w:rPr>
            </w:pPr>
          </w:p>
        </w:tc>
        <w:tc>
          <w:tcPr>
            <w:tcW w:w="751" w:type="dxa"/>
            <w:tcBorders>
              <w:top w:val="single" w:color="auto" w:sz="4" w:space="0"/>
            </w:tcBorders>
          </w:tcPr>
          <w:p>
            <w:pPr>
              <w:rPr>
                <w:szCs w:val="21"/>
              </w:rPr>
            </w:pPr>
          </w:p>
        </w:tc>
        <w:tc>
          <w:tcPr>
            <w:tcW w:w="971" w:type="dxa"/>
          </w:tcPr>
          <w:p>
            <w:pPr>
              <w:rPr>
                <w:szCs w:val="21"/>
              </w:rPr>
            </w:pPr>
          </w:p>
        </w:tc>
      </w:tr>
    </w:tbl>
    <w:p>
      <w:pPr>
        <w:adjustRightInd w:val="0"/>
        <w:snapToGrid w:val="0"/>
        <w:spacing w:line="360" w:lineRule="auto"/>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黑体" w:hAnsi="宋体" w:eastAsia="黑体"/>
          <w:sz w:val="28"/>
          <w:szCs w:val="28"/>
        </w:rPr>
        <w:sectPr>
          <w:footerReference r:id="rId3" w:type="default"/>
          <w:pgSz w:w="11906" w:h="16838"/>
          <w:pgMar w:top="1474" w:right="1474" w:bottom="1474" w:left="1588" w:header="851" w:footer="992" w:gutter="0"/>
          <w:cols w:space="720" w:num="1"/>
          <w:docGrid w:type="lines" w:linePitch="312" w:charSpace="0"/>
        </w:sectPr>
      </w:pPr>
    </w:p>
    <w:p>
      <w:pPr>
        <w:pStyle w:val="6"/>
        <w:jc w:val="center"/>
        <w:rPr>
          <w:rFonts w:ascii="黑体" w:hAnsi="黑体" w:eastAsia="黑体"/>
          <w:sz w:val="28"/>
          <w:szCs w:val="28"/>
        </w:rPr>
      </w:pPr>
      <w:bookmarkStart w:id="70" w:name="_Toc27634"/>
      <w:bookmarkStart w:id="71" w:name="_Toc22201159"/>
      <w:r>
        <w:rPr>
          <w:rFonts w:hint="eastAsia" w:ascii="黑体" w:hAnsi="黑体" w:eastAsia="黑体"/>
          <w:sz w:val="28"/>
          <w:szCs w:val="28"/>
        </w:rPr>
        <w:t>七、合同条款偏离表</w:t>
      </w:r>
      <w:bookmarkEnd w:id="70"/>
      <w:bookmarkEnd w:id="71"/>
    </w:p>
    <w:p>
      <w:pPr>
        <w:adjustRightInd w:val="0"/>
        <w:snapToGrid w:val="0"/>
        <w:spacing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            项目名称：</w:t>
      </w:r>
      <w:r>
        <w:rPr>
          <w:rFonts w:hint="eastAsia" w:ascii="宋体" w:hAnsi="宋体"/>
          <w:szCs w:val="21"/>
          <w:u w:val="single"/>
        </w:rPr>
        <w:t>____            ______</w:t>
      </w:r>
    </w:p>
    <w:p>
      <w:pPr>
        <w:adjustRightInd w:val="0"/>
        <w:snapToGrid w:val="0"/>
        <w:spacing w:before="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___          _______</w:t>
      </w:r>
    </w:p>
    <w:tbl>
      <w:tblPr>
        <w:tblStyle w:val="4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w:t>
            </w:r>
            <w:r>
              <w:rPr>
                <w:rFonts w:hint="eastAsia"/>
              </w:rPr>
              <w:t>文件要求</w:t>
            </w:r>
          </w:p>
        </w:tc>
        <w:tc>
          <w:tcPr>
            <w:tcW w:w="2082" w:type="dxa"/>
            <w:tcBorders>
              <w:right w:val="single" w:color="auto" w:sz="4" w:space="0"/>
            </w:tcBorders>
            <w:vAlign w:val="center"/>
          </w:tcPr>
          <w:p>
            <w:pPr>
              <w:adjustRightInd w:val="0"/>
              <w:snapToGrid w:val="0"/>
              <w:spacing w:before="50" w:line="360" w:lineRule="auto"/>
              <w:jc w:val="center"/>
              <w:rPr>
                <w:rFonts w:ascii="宋体" w:hAnsi="宋体"/>
                <w:szCs w:val="21"/>
              </w:rPr>
            </w:pPr>
            <w:r>
              <w:rPr>
                <w:rFonts w:hint="eastAsia"/>
              </w:rPr>
              <w:t>响应文件的应答</w:t>
            </w: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Pr>
          <w:p>
            <w:pPr>
              <w:adjustRightInd w:val="0"/>
              <w:snapToGrid w:val="0"/>
              <w:spacing w:before="50" w:line="360" w:lineRule="auto"/>
            </w:pPr>
          </w:p>
        </w:tc>
        <w:tc>
          <w:tcPr>
            <w:tcW w:w="2082" w:type="dxa"/>
            <w:tcBorders>
              <w:right w:val="single" w:color="auto" w:sz="4" w:space="0"/>
            </w:tcBorders>
          </w:tcPr>
          <w:p>
            <w:pPr>
              <w:adjustRightInd w:val="0"/>
              <w:snapToGrid w:val="0"/>
              <w:spacing w:before="50" w:line="360" w:lineRule="auto"/>
            </w:pPr>
          </w:p>
        </w:tc>
        <w:tc>
          <w:tcPr>
            <w:tcW w:w="1942" w:type="dxa"/>
            <w:tcBorders>
              <w:left w:val="single" w:color="auto" w:sz="4" w:space="0"/>
            </w:tcBorders>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2082"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942"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vAlign w:val="center"/>
          </w:tcPr>
          <w:p>
            <w:pPr>
              <w:adjustRightInd w:val="0"/>
              <w:snapToGrid w:val="0"/>
              <w:spacing w:before="50" w:line="360" w:lineRule="auto"/>
              <w:ind w:left="-88" w:leftChars="-42"/>
              <w:jc w:val="center"/>
              <w:rPr>
                <w:rFonts w:ascii="宋体" w:hAnsi="宋体"/>
                <w:szCs w:val="21"/>
              </w:rPr>
            </w:pPr>
          </w:p>
        </w:tc>
        <w:tc>
          <w:tcPr>
            <w:tcW w:w="4024" w:type="dxa"/>
            <w:gridSpan w:val="2"/>
            <w:vAlign w:val="center"/>
          </w:tcPr>
          <w:p>
            <w:pPr>
              <w:adjustRightInd w:val="0"/>
              <w:snapToGrid w:val="0"/>
              <w:spacing w:before="50" w:line="360" w:lineRule="auto"/>
              <w:ind w:firstLine="422" w:firstLineChars="200"/>
              <w:jc w:val="left"/>
              <w:rPr>
                <w:rFonts w:ascii="宋体" w:hAnsi="宋体"/>
                <w:b/>
                <w:szCs w:val="21"/>
              </w:rPr>
            </w:pPr>
            <w:r>
              <w:rPr>
                <w:rFonts w:hint="eastAsia" w:ascii="宋体" w:hAnsi="宋体"/>
                <w:b/>
                <w:szCs w:val="21"/>
              </w:rPr>
              <w:t>供应商保证：除本合同条款偏离表列出的偏离外，我单位对谈判文件的其他商务、合同条款完全响应，无偏离。</w:t>
            </w:r>
          </w:p>
        </w:tc>
      </w:tr>
    </w:tbl>
    <w:p>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：（1）供应商应根据谈判文件第四章</w:t>
      </w:r>
      <w:r>
        <w:rPr>
          <w:rFonts w:hint="eastAsia" w:ascii="华文宋体" w:hAnsi="华文宋体" w:eastAsia="华文宋体"/>
          <w:szCs w:val="21"/>
        </w:rPr>
        <w:t>“</w:t>
      </w:r>
      <w:r>
        <w:rPr>
          <w:rFonts w:hint="eastAsia" w:ascii="宋体" w:hAnsi="宋体"/>
          <w:szCs w:val="21"/>
        </w:rPr>
        <w:t>合同草案条款</w:t>
      </w:r>
      <w:r>
        <w:rPr>
          <w:rFonts w:hint="eastAsia" w:ascii="华文宋体" w:hAnsi="华文宋体" w:eastAsia="华文宋体"/>
          <w:szCs w:val="21"/>
        </w:rPr>
        <w:t>”</w:t>
      </w:r>
      <w:r>
        <w:rPr>
          <w:rFonts w:hint="eastAsia" w:ascii="宋体" w:hAnsi="宋体"/>
          <w:szCs w:val="21"/>
        </w:rPr>
        <w:t>填写本表；</w:t>
      </w:r>
    </w:p>
    <w:p>
      <w:pPr>
        <w:adjustRightInd w:val="0"/>
        <w:snapToGrid w:val="0"/>
        <w:spacing w:before="50" w:line="360" w:lineRule="auto"/>
        <w:ind w:left="-88" w:leftChars="-42" w:firstLine="420" w:firstLineChars="200"/>
        <w:rPr>
          <w:rFonts w:ascii="宋体" w:hAnsi="宋体"/>
          <w:b/>
          <w:szCs w:val="21"/>
        </w:rPr>
      </w:pPr>
      <w:r>
        <w:rPr>
          <w:rFonts w:hint="eastAsia" w:ascii="宋体" w:hAnsi="宋体"/>
          <w:szCs w:val="21"/>
        </w:rPr>
        <w:t>（2）</w:t>
      </w:r>
      <w:r>
        <w:rPr>
          <w:rFonts w:hint="eastAsia" w:ascii="宋体" w:hAnsi="宋体"/>
          <w:b/>
          <w:szCs w:val="21"/>
        </w:rPr>
        <w:t>供应商如果对谈判文件第四章“合同草案条款”的响应有偏离，应将偏离条款逐条如实应答，并作出说明；</w:t>
      </w:r>
    </w:p>
    <w:p>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（3）如不提供此表，则视为供应商不满足谈判文件第四章的所有条款要求，其</w:t>
      </w:r>
      <w:r>
        <w:rPr>
          <w:rFonts w:hint="eastAsia" w:ascii="宋体" w:hAnsi="宋体"/>
          <w:b/>
          <w:szCs w:val="21"/>
        </w:rPr>
        <w:t>响应无效</w:t>
      </w:r>
      <w:r>
        <w:rPr>
          <w:rFonts w:hint="eastAsia" w:ascii="宋体" w:hAnsi="宋体"/>
          <w:szCs w:val="21"/>
        </w:rPr>
        <w:t>。</w:t>
      </w: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供应商名称（盖单位公章）：</w:t>
      </w:r>
    </w:p>
    <w:p>
      <w:pPr>
        <w:adjustRightInd w:val="0"/>
        <w:snapToGrid w:val="0"/>
        <w:spacing w:before="50"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r>
        <w:rPr>
          <w:rFonts w:hint="eastAsia"/>
        </w:rPr>
        <w:t>日       期：          年        月      _日</w:t>
      </w:r>
    </w:p>
    <w:p>
      <w:pPr>
        <w:pStyle w:val="6"/>
        <w:jc w:val="center"/>
        <w:rPr>
          <w:rFonts w:ascii="黑体" w:eastAsia="黑体"/>
          <w:sz w:val="28"/>
          <w:szCs w:val="28"/>
        </w:rPr>
      </w:pPr>
      <w:r>
        <w:rPr>
          <w:rFonts w:ascii="黑体" w:eastAsia="黑体"/>
          <w:sz w:val="28"/>
          <w:szCs w:val="28"/>
        </w:rPr>
        <w:br w:type="page"/>
      </w:r>
      <w:bookmarkStart w:id="72" w:name="_Toc3077"/>
      <w:bookmarkStart w:id="73" w:name="_Toc22201160"/>
      <w:r>
        <w:rPr>
          <w:rFonts w:hint="eastAsia" w:ascii="黑体" w:eastAsia="黑体"/>
          <w:sz w:val="28"/>
          <w:szCs w:val="28"/>
        </w:rPr>
        <w:t>八、采购需求偏离表</w:t>
      </w:r>
      <w:bookmarkEnd w:id="72"/>
      <w:bookmarkEnd w:id="73"/>
    </w:p>
    <w:p>
      <w:pPr>
        <w:adjustRightInd w:val="0"/>
        <w:snapToGrid w:val="0"/>
        <w:spacing w:beforeLines="50" w:line="360" w:lineRule="auto"/>
        <w:rPr>
          <w:rFonts w:ascii="宋体" w:hAnsi="宋体"/>
          <w:szCs w:val="21"/>
          <w:u w:val="single"/>
        </w:rPr>
      </w:pPr>
      <w:r>
        <w:rPr>
          <w:rFonts w:hint="eastAsia" w:ascii="宋体" w:hAnsi="宋体"/>
          <w:spacing w:val="28"/>
          <w:szCs w:val="21"/>
        </w:rPr>
        <w:t>采购代理编号</w:t>
      </w:r>
      <w:r>
        <w:rPr>
          <w:rFonts w:hint="eastAsia" w:ascii="宋体" w:hAnsi="宋体"/>
          <w:szCs w:val="21"/>
        </w:rPr>
        <w:t>:           项目名称：</w:t>
      </w:r>
      <w:r>
        <w:rPr>
          <w:rFonts w:hint="eastAsia" w:ascii="宋体" w:hAnsi="宋体"/>
          <w:szCs w:val="21"/>
          <w:u w:val="single"/>
        </w:rPr>
        <w:t>____            ______</w:t>
      </w:r>
    </w:p>
    <w:p>
      <w:pPr>
        <w:adjustRightInd w:val="0"/>
        <w:snapToGrid w:val="0"/>
        <w:spacing w:beforeLines="50" w:line="360" w:lineRule="auto"/>
        <w:rPr>
          <w:rFonts w:ascii="宋体" w:hAnsi="宋体"/>
          <w:szCs w:val="21"/>
          <w:u w:val="single"/>
        </w:rPr>
      </w:pPr>
      <w:r>
        <w:rPr>
          <w:rFonts w:hint="eastAsia" w:ascii="宋体" w:hAnsi="宋体"/>
          <w:szCs w:val="21"/>
        </w:rPr>
        <w:t>包           号：</w:t>
      </w:r>
      <w:r>
        <w:rPr>
          <w:rFonts w:hint="eastAsia" w:ascii="宋体" w:hAnsi="宋体"/>
          <w:szCs w:val="21"/>
          <w:u w:val="single"/>
        </w:rPr>
        <w:t xml:space="preserve">__    ________           </w:t>
      </w:r>
      <w:r>
        <w:rPr>
          <w:rFonts w:hint="eastAsia" w:ascii="宋体" w:hAnsi="宋体"/>
          <w:szCs w:val="21"/>
        </w:rPr>
        <w:t xml:space="preserve">           包名称：</w:t>
      </w:r>
      <w:r>
        <w:rPr>
          <w:rFonts w:hint="eastAsia" w:ascii="宋体" w:hAnsi="宋体"/>
          <w:szCs w:val="21"/>
          <w:u w:val="single"/>
        </w:rPr>
        <w:t>___          _______</w:t>
      </w:r>
    </w:p>
    <w:tbl>
      <w:tblPr>
        <w:tblStyle w:val="43"/>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bCs/>
                <w:szCs w:val="21"/>
              </w:rPr>
              <w:t>序</w:t>
            </w:r>
            <w:r>
              <w:rPr>
                <w:rFonts w:hint="eastAsia" w:ascii="宋体" w:hAnsi="宋体"/>
                <w:szCs w:val="21"/>
              </w:rPr>
              <w:t>号</w:t>
            </w:r>
          </w:p>
        </w:tc>
        <w:tc>
          <w:tcPr>
            <w:tcW w:w="2410"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谈判文件章节</w:t>
            </w:r>
            <w:r>
              <w:rPr>
                <w:rFonts w:hint="eastAsia" w:ascii="宋体" w:hAnsi="宋体"/>
                <w:bCs/>
                <w:szCs w:val="21"/>
              </w:rPr>
              <w:t>条</w:t>
            </w:r>
            <w:r>
              <w:rPr>
                <w:rFonts w:hint="eastAsia" w:ascii="宋体" w:hAnsi="宋体"/>
                <w:szCs w:val="21"/>
              </w:rPr>
              <w:t>款号</w:t>
            </w:r>
          </w:p>
        </w:tc>
        <w:tc>
          <w:tcPr>
            <w:tcW w:w="1985" w:type="dxa"/>
            <w:tcBorders>
              <w:right w:val="single" w:color="auto" w:sz="4" w:space="0"/>
            </w:tcBorders>
          </w:tcPr>
          <w:p>
            <w:pPr>
              <w:adjustRightInd w:val="0"/>
              <w:snapToGrid w:val="0"/>
              <w:spacing w:before="50" w:line="360" w:lineRule="auto"/>
              <w:jc w:val="center"/>
            </w:pPr>
            <w:r>
              <w:rPr>
                <w:rFonts w:hint="eastAsia" w:ascii="宋体" w:hAnsi="宋体"/>
                <w:szCs w:val="21"/>
              </w:rPr>
              <w:t>谈判</w:t>
            </w:r>
            <w:r>
              <w:rPr>
                <w:rFonts w:hint="eastAsia"/>
              </w:rPr>
              <w:t>文件要求</w:t>
            </w:r>
          </w:p>
        </w:tc>
        <w:tc>
          <w:tcPr>
            <w:tcW w:w="2126" w:type="dxa"/>
            <w:tcBorders>
              <w:left w:val="single" w:color="auto" w:sz="4" w:space="0"/>
            </w:tcBorders>
          </w:tcPr>
          <w:p>
            <w:pPr>
              <w:adjustRightInd w:val="0"/>
              <w:snapToGrid w:val="0"/>
              <w:spacing w:before="50" w:line="360" w:lineRule="auto"/>
              <w:jc w:val="center"/>
            </w:pPr>
            <w:r>
              <w:rPr>
                <w:rFonts w:hint="eastAsia" w:ascii="宋体" w:hAnsi="宋体"/>
                <w:szCs w:val="21"/>
              </w:rPr>
              <w:t>响应</w:t>
            </w:r>
            <w:r>
              <w:rPr>
                <w:rFonts w:hint="eastAsia"/>
              </w:rPr>
              <w:t>文件应答</w:t>
            </w:r>
          </w:p>
        </w:tc>
        <w:tc>
          <w:tcPr>
            <w:tcW w:w="1756" w:type="dxa"/>
            <w:vAlign w:val="center"/>
          </w:tcPr>
          <w:p>
            <w:pPr>
              <w:adjustRightInd w:val="0"/>
              <w:snapToGrid w:val="0"/>
              <w:spacing w:before="50" w:line="360" w:lineRule="auto"/>
              <w:ind w:left="-88" w:leftChars="-42"/>
              <w:jc w:val="center"/>
              <w:rPr>
                <w:rFonts w:ascii="宋体" w:hAnsi="宋体"/>
                <w:szCs w:val="21"/>
              </w:rPr>
            </w:pPr>
            <w:r>
              <w:rPr>
                <w:rFonts w:hint="eastAsia" w:ascii="宋体" w:hAnsi="宋体"/>
                <w:szCs w:val="21"/>
              </w:rPr>
              <w:t>偏离说明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2126" w:type="dxa"/>
            <w:tcBorders>
              <w:lef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1756" w:type="dxa"/>
            <w:vAlign w:val="center"/>
          </w:tcPr>
          <w:p>
            <w:pPr>
              <w:adjustRightInd w:val="0"/>
              <w:snapToGrid w:val="0"/>
              <w:spacing w:before="50" w:line="360" w:lineRule="auto"/>
              <w:ind w:left="-88" w:leftChars="-42"/>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pPr>
              <w:adjustRightInd w:val="0"/>
              <w:snapToGrid w:val="0"/>
              <w:spacing w:before="50" w:line="360" w:lineRule="auto"/>
              <w:ind w:left="-88" w:leftChars="-42"/>
              <w:jc w:val="center"/>
              <w:rPr>
                <w:rFonts w:ascii="宋体" w:hAnsi="宋体"/>
                <w:szCs w:val="21"/>
              </w:rPr>
            </w:pPr>
          </w:p>
        </w:tc>
        <w:tc>
          <w:tcPr>
            <w:tcW w:w="2410" w:type="dxa"/>
            <w:vAlign w:val="center"/>
          </w:tcPr>
          <w:p>
            <w:pPr>
              <w:adjustRightInd w:val="0"/>
              <w:snapToGrid w:val="0"/>
              <w:spacing w:before="50" w:line="360" w:lineRule="auto"/>
              <w:ind w:left="-88" w:leftChars="-42"/>
              <w:jc w:val="center"/>
              <w:rPr>
                <w:rFonts w:ascii="宋体" w:hAnsi="宋体"/>
                <w:szCs w:val="21"/>
              </w:rPr>
            </w:pPr>
          </w:p>
        </w:tc>
        <w:tc>
          <w:tcPr>
            <w:tcW w:w="1985" w:type="dxa"/>
            <w:tcBorders>
              <w:right w:val="single" w:color="auto" w:sz="4" w:space="0"/>
            </w:tcBorders>
            <w:vAlign w:val="center"/>
          </w:tcPr>
          <w:p>
            <w:pPr>
              <w:adjustRightInd w:val="0"/>
              <w:snapToGrid w:val="0"/>
              <w:spacing w:before="50" w:line="360" w:lineRule="auto"/>
              <w:ind w:left="-88" w:leftChars="-42"/>
              <w:jc w:val="center"/>
              <w:rPr>
                <w:rFonts w:ascii="宋体" w:hAnsi="宋体"/>
                <w:szCs w:val="21"/>
              </w:rPr>
            </w:pPr>
          </w:p>
        </w:tc>
        <w:tc>
          <w:tcPr>
            <w:tcW w:w="3882" w:type="dxa"/>
            <w:gridSpan w:val="2"/>
            <w:tcBorders>
              <w:left w:val="single" w:color="auto" w:sz="4" w:space="0"/>
            </w:tcBorders>
            <w:vAlign w:val="center"/>
          </w:tcPr>
          <w:p>
            <w:pPr>
              <w:adjustRightInd w:val="0"/>
              <w:snapToGrid w:val="0"/>
              <w:spacing w:before="50" w:line="360" w:lineRule="auto"/>
              <w:ind w:firstLine="422" w:firstLineChars="200"/>
              <w:rPr>
                <w:rFonts w:ascii="宋体" w:hAnsi="宋体"/>
                <w:szCs w:val="21"/>
              </w:rPr>
            </w:pPr>
            <w:r>
              <w:rPr>
                <w:rFonts w:hint="eastAsia" w:ascii="宋体" w:hAnsi="宋体"/>
                <w:b/>
                <w:szCs w:val="21"/>
              </w:rPr>
              <w:t>供应商保证：除本采购需求偏离表列出的偏离外，我单位对谈判文件的其他采购需求条款完全响应，无偏离。</w:t>
            </w:r>
          </w:p>
        </w:tc>
      </w:tr>
    </w:tbl>
    <w:p>
      <w:pPr>
        <w:adjustRightInd w:val="0"/>
        <w:snapToGrid w:val="0"/>
        <w:spacing w:before="50" w:line="360" w:lineRule="auto"/>
        <w:ind w:left="-88" w:leftChars="-42"/>
        <w:rPr>
          <w:rFonts w:ascii="宋体" w:hAnsi="宋体"/>
          <w:szCs w:val="21"/>
        </w:rPr>
      </w:pPr>
      <w:r>
        <w:rPr>
          <w:rFonts w:hint="eastAsia" w:ascii="宋体" w:hAnsi="宋体"/>
          <w:b/>
          <w:szCs w:val="21"/>
        </w:rPr>
        <w:t>备注</w:t>
      </w:r>
      <w:r>
        <w:rPr>
          <w:rFonts w:hint="eastAsia" w:ascii="宋体" w:hAnsi="宋体"/>
          <w:szCs w:val="21"/>
        </w:rPr>
        <w:t>：（1）供应商应根据谈判文件第三章“采购需求”填写本表；</w:t>
      </w:r>
    </w:p>
    <w:p>
      <w:pPr>
        <w:adjustRightInd w:val="0"/>
        <w:snapToGrid w:val="0"/>
        <w:spacing w:before="50" w:line="360" w:lineRule="auto"/>
        <w:ind w:left="-88" w:leftChars="-42" w:firstLine="420" w:firstLineChars="200"/>
        <w:rPr>
          <w:rFonts w:ascii="宋体" w:hAnsi="宋体"/>
          <w:b/>
          <w:color w:val="FF0000"/>
          <w:szCs w:val="21"/>
        </w:rPr>
      </w:pPr>
      <w:r>
        <w:rPr>
          <w:rFonts w:hint="eastAsia" w:ascii="宋体" w:hAnsi="宋体"/>
          <w:szCs w:val="21"/>
        </w:rPr>
        <w:t>（2）</w:t>
      </w:r>
      <w:r>
        <w:rPr>
          <w:rFonts w:hint="eastAsia" w:ascii="宋体" w:hAnsi="宋体"/>
          <w:b/>
          <w:szCs w:val="21"/>
        </w:rPr>
        <w:t>供应商如果对谈判文件第三章“采购需求”的响应有偏离，应将偏离条款逐条如实应答，并作出说明；</w:t>
      </w:r>
    </w:p>
    <w:p>
      <w:pPr>
        <w:adjustRightInd w:val="0"/>
        <w:snapToGrid w:val="0"/>
        <w:spacing w:before="50" w:line="360" w:lineRule="auto"/>
        <w:ind w:left="-88" w:leftChars="-42" w:firstLine="420" w:firstLineChars="200"/>
        <w:rPr>
          <w:rFonts w:ascii="宋体" w:hAnsi="宋体"/>
          <w:szCs w:val="21"/>
        </w:rPr>
      </w:pPr>
      <w:r>
        <w:rPr>
          <w:rFonts w:hint="eastAsia" w:ascii="宋体" w:hAnsi="宋体"/>
          <w:szCs w:val="21"/>
        </w:rPr>
        <w:t>（3）如不提供此表，则视为供应商不满足谈判文件第三章的所有条款要求，其</w:t>
      </w:r>
      <w:r>
        <w:rPr>
          <w:rFonts w:hint="eastAsia" w:ascii="宋体" w:hAnsi="宋体"/>
          <w:b/>
          <w:szCs w:val="21"/>
        </w:rPr>
        <w:t>响应无效</w:t>
      </w:r>
      <w:r>
        <w:rPr>
          <w:rFonts w:hint="eastAsia" w:ascii="宋体" w:hAnsi="宋体"/>
          <w:szCs w:val="21"/>
        </w:rPr>
        <w:t>。</w:t>
      </w: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p>
    <w:p>
      <w:pPr>
        <w:adjustRightInd w:val="0"/>
        <w:snapToGrid w:val="0"/>
        <w:spacing w:before="50" w:line="360" w:lineRule="auto"/>
        <w:rPr>
          <w:rFonts w:ascii="宋体" w:hAnsi="宋体"/>
          <w:szCs w:val="21"/>
        </w:rPr>
      </w:pPr>
      <w:r>
        <w:rPr>
          <w:rFonts w:hint="eastAsia" w:ascii="宋体" w:hAnsi="宋体"/>
          <w:szCs w:val="21"/>
        </w:rPr>
        <w:t>供应商名称（盖单位公章）：</w:t>
      </w:r>
    </w:p>
    <w:p>
      <w:pPr>
        <w:adjustRightInd w:val="0"/>
        <w:snapToGrid w:val="0"/>
        <w:spacing w:before="50"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pPr>
        <w:adjustRightInd w:val="0"/>
        <w:snapToGrid w:val="0"/>
        <w:spacing w:before="50" w:line="360" w:lineRule="auto"/>
        <w:rPr>
          <w:rFonts w:ascii="宋体" w:hAnsi="宋体"/>
          <w:szCs w:val="21"/>
        </w:rPr>
      </w:pPr>
      <w:r>
        <w:rPr>
          <w:rFonts w:hint="eastAsia" w:ascii="宋体" w:hAnsi="宋体"/>
          <w:szCs w:val="21"/>
        </w:rPr>
        <w:t>日      期：年月_日</w:t>
      </w:r>
    </w:p>
    <w:p/>
    <w:p/>
    <w:p>
      <w:pPr>
        <w:pStyle w:val="6"/>
        <w:jc w:val="center"/>
        <w:rPr>
          <w:rFonts w:ascii="黑体" w:hAnsi="黑体" w:eastAsia="黑体"/>
          <w:sz w:val="28"/>
          <w:szCs w:val="28"/>
        </w:rPr>
      </w:pPr>
      <w:r>
        <w:br w:type="page"/>
      </w:r>
      <w:bookmarkStart w:id="74" w:name="_Toc22201161"/>
      <w:bookmarkStart w:id="75" w:name="_Toc18735"/>
      <w:r>
        <w:rPr>
          <w:rFonts w:hint="eastAsia" w:ascii="黑体" w:hAnsi="黑体" w:eastAsia="黑体"/>
          <w:sz w:val="28"/>
          <w:szCs w:val="28"/>
        </w:rPr>
        <w:t>九、享受政府采购政策优惠的证明资料</w:t>
      </w:r>
      <w:bookmarkEnd w:id="74"/>
      <w:bookmarkEnd w:id="75"/>
    </w:p>
    <w:p>
      <w:pPr>
        <w:adjustRightInd w:val="0"/>
        <w:snapToGrid w:val="0"/>
        <w:spacing w:line="360" w:lineRule="auto"/>
        <w:rPr>
          <w:rFonts w:ascii="黑体" w:hAnsi="华文中宋" w:eastAsia="黑体" w:cs="宋体"/>
          <w:bCs/>
          <w:spacing w:val="6"/>
          <w:kern w:val="0"/>
          <w:szCs w:val="21"/>
        </w:rPr>
      </w:pPr>
    </w:p>
    <w:p>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供应商符合第二章第二节第37条要求的，应提供下列证明资料，并填写相关数据。否则，评审时不予以考虑。</w:t>
      </w:r>
    </w:p>
    <w:p>
      <w:pPr>
        <w:adjustRightInd w:val="0"/>
        <w:snapToGrid w:val="0"/>
        <w:spacing w:line="360" w:lineRule="auto"/>
        <w:rPr>
          <w:rFonts w:ascii="黑体" w:hAnsi="华文中宋" w:eastAsia="黑体" w:cs="宋体"/>
          <w:bCs/>
          <w:spacing w:val="6"/>
          <w:kern w:val="0"/>
          <w:szCs w:val="21"/>
        </w:rPr>
      </w:pPr>
    </w:p>
    <w:p>
      <w:pPr>
        <w:pStyle w:val="7"/>
        <w:rPr>
          <w:rFonts w:ascii="宋体" w:hAnsi="宋体"/>
          <w:sz w:val="21"/>
          <w:szCs w:val="21"/>
        </w:rPr>
      </w:pPr>
      <w:bookmarkStart w:id="76" w:name="_Toc22201162"/>
      <w:bookmarkStart w:id="77" w:name="_Toc11447"/>
      <w:r>
        <w:rPr>
          <w:rFonts w:hint="eastAsia" w:ascii="宋体" w:hAnsi="宋体"/>
          <w:sz w:val="21"/>
          <w:szCs w:val="21"/>
        </w:rPr>
        <w:t>附件9-1小型、微型企业声明函</w:t>
      </w:r>
      <w:bookmarkEnd w:id="76"/>
      <w:bookmarkEnd w:id="77"/>
    </w:p>
    <w:p>
      <w:pPr>
        <w:widowControl/>
        <w:adjustRightInd w:val="0"/>
        <w:snapToGrid w:val="0"/>
        <w:spacing w:line="360" w:lineRule="auto"/>
        <w:jc w:val="center"/>
        <w:rPr>
          <w:rFonts w:ascii="黑体" w:hAnsi="黑体" w:eastAsia="黑体" w:cs="宋体"/>
          <w:b/>
          <w:bCs/>
          <w:spacing w:val="6"/>
          <w:kern w:val="0"/>
          <w:sz w:val="28"/>
          <w:szCs w:val="28"/>
        </w:rPr>
      </w:pPr>
      <w:r>
        <w:rPr>
          <w:rFonts w:hint="eastAsia" w:ascii="黑体" w:hAnsi="黑体" w:eastAsia="黑体" w:cs="黑体"/>
          <w:b/>
          <w:bCs/>
          <w:spacing w:val="6"/>
          <w:kern w:val="0"/>
          <w:sz w:val="28"/>
          <w:szCs w:val="28"/>
        </w:rPr>
        <w:t>小型、微型企业</w:t>
      </w:r>
      <w:r>
        <w:rPr>
          <w:rFonts w:hint="eastAsia" w:ascii="黑体" w:hAnsi="黑体" w:eastAsia="黑体" w:cs="宋体"/>
          <w:b/>
          <w:bCs/>
          <w:spacing w:val="6"/>
          <w:kern w:val="0"/>
          <w:sz w:val="28"/>
          <w:szCs w:val="28"/>
        </w:rPr>
        <w:t>声明函</w:t>
      </w:r>
    </w:p>
    <w:p>
      <w:pPr>
        <w:widowControl/>
        <w:adjustRightInd w:val="0"/>
        <w:snapToGrid w:val="0"/>
        <w:spacing w:line="360" w:lineRule="auto"/>
        <w:jc w:val="center"/>
        <w:rPr>
          <w:rFonts w:ascii="宋体" w:hAnsi="宋体" w:cs="宋体"/>
          <w:b/>
          <w:spacing w:val="6"/>
          <w:kern w:val="0"/>
          <w:szCs w:val="21"/>
        </w:rPr>
      </w:pPr>
      <w:r>
        <w:rPr>
          <w:rFonts w:hint="eastAsia" w:ascii="宋体" w:hAnsi="宋体" w:cs="宋体"/>
          <w:b/>
          <w:spacing w:val="6"/>
          <w:kern w:val="0"/>
          <w:szCs w:val="21"/>
        </w:rPr>
        <w:t>(不满足以下条件的无需填写)</w:t>
      </w:r>
    </w:p>
    <w:p>
      <w:pPr>
        <w:widowControl/>
        <w:adjustRightInd w:val="0"/>
        <w:snapToGrid w:val="0"/>
        <w:spacing w:line="360" w:lineRule="auto"/>
        <w:ind w:firstLine="444" w:firstLineChars="200"/>
        <w:jc w:val="left"/>
        <w:rPr>
          <w:rFonts w:ascii="宋体" w:hAnsi="宋体" w:cs="宋体"/>
          <w:spacing w:val="6"/>
          <w:kern w:val="0"/>
          <w:szCs w:val="21"/>
        </w:rPr>
      </w:pPr>
    </w:p>
    <w:p>
      <w:pPr>
        <w:widowControl/>
        <w:adjustRightInd w:val="0"/>
        <w:snapToGrid w:val="0"/>
        <w:spacing w:line="360" w:lineRule="auto"/>
        <w:ind w:firstLine="444" w:firstLineChars="200"/>
        <w:jc w:val="left"/>
        <w:rPr>
          <w:rFonts w:ascii="宋体" w:hAnsi="宋体" w:cs="宋体"/>
          <w:kern w:val="0"/>
          <w:szCs w:val="21"/>
        </w:rPr>
      </w:pPr>
      <w:r>
        <w:rPr>
          <w:rFonts w:hint="eastAsia" w:ascii="宋体" w:hAnsi="宋体" w:cs="宋体"/>
          <w:spacing w:val="6"/>
          <w:kern w:val="0"/>
          <w:szCs w:val="21"/>
        </w:rPr>
        <w:t>本公司郑重声明，根据《政府采购促进中小企业发展暂行办法》（财库[2011]181号）的规定，本公司为（请填写：小型、微型）企业。即，本公司同时满足以下条件：</w:t>
      </w:r>
    </w:p>
    <w:p>
      <w:pPr>
        <w:widowControl/>
        <w:adjustRightInd w:val="0"/>
        <w:snapToGrid w:val="0"/>
        <w:spacing w:line="360" w:lineRule="auto"/>
        <w:ind w:firstLine="444" w:firstLineChars="200"/>
        <w:jc w:val="left"/>
        <w:rPr>
          <w:rFonts w:ascii="宋体" w:hAnsi="宋体" w:cs="宋体"/>
          <w:kern w:val="0"/>
          <w:szCs w:val="21"/>
        </w:rPr>
      </w:pPr>
      <w:r>
        <w:rPr>
          <w:rFonts w:hint="eastAsia" w:ascii="宋体" w:hAnsi="宋体" w:cs="宋体"/>
          <w:spacing w:val="6"/>
          <w:kern w:val="0"/>
          <w:szCs w:val="21"/>
        </w:rPr>
        <w:t>1.根据《工业和信息化部、国家统计局、国家发展和改革委员会、财政部关于印发中小企业划型标准规定的通知》（工信部联企业[2011]300号）规定的划分标准，本公司为（请填写：小型、微型）企业。</w:t>
      </w:r>
    </w:p>
    <w:p>
      <w:pPr>
        <w:widowControl/>
        <w:adjustRightInd w:val="0"/>
        <w:snapToGrid w:val="0"/>
        <w:spacing w:line="360" w:lineRule="auto"/>
        <w:ind w:firstLine="444" w:firstLineChars="200"/>
        <w:jc w:val="left"/>
        <w:rPr>
          <w:rFonts w:ascii="宋体" w:hAnsi="宋体" w:cs="宋体"/>
          <w:spacing w:val="6"/>
          <w:kern w:val="0"/>
          <w:szCs w:val="21"/>
        </w:rPr>
      </w:pPr>
      <w:r>
        <w:rPr>
          <w:rFonts w:hint="eastAsia" w:ascii="宋体" w:hAnsi="宋体" w:cs="宋体"/>
          <w:spacing w:val="6"/>
          <w:kern w:val="0"/>
          <w:szCs w:val="21"/>
        </w:rPr>
        <w:t>2.本公司参加单位的 项目采购活动提供由本企业承担工程、提供服务，或者提供本节附页1“价格评审优惠货物清单”中所列货物。本条所称货物不包括使用大型企业注册商标的货物。</w:t>
      </w:r>
    </w:p>
    <w:p>
      <w:pPr>
        <w:widowControl/>
        <w:adjustRightInd w:val="0"/>
        <w:snapToGrid w:val="0"/>
        <w:spacing w:line="360" w:lineRule="auto"/>
        <w:ind w:firstLine="444" w:firstLineChars="200"/>
        <w:jc w:val="left"/>
        <w:rPr>
          <w:rFonts w:ascii="宋体" w:hAnsi="宋体" w:cs="宋体"/>
          <w:spacing w:val="6"/>
          <w:kern w:val="0"/>
          <w:szCs w:val="21"/>
        </w:rPr>
      </w:pPr>
    </w:p>
    <w:p>
      <w:pPr>
        <w:widowControl/>
        <w:adjustRightInd w:val="0"/>
        <w:snapToGrid w:val="0"/>
        <w:spacing w:line="360" w:lineRule="auto"/>
        <w:ind w:firstLine="420" w:firstLineChars="200"/>
        <w:jc w:val="left"/>
        <w:rPr>
          <w:rFonts w:ascii="宋体" w:hAnsi="宋体" w:cs="宋体"/>
          <w:kern w:val="0"/>
          <w:szCs w:val="21"/>
        </w:rPr>
      </w:pPr>
    </w:p>
    <w:p>
      <w:pPr>
        <w:widowControl/>
        <w:adjustRightInd w:val="0"/>
        <w:snapToGrid w:val="0"/>
        <w:spacing w:line="360" w:lineRule="auto"/>
        <w:ind w:firstLine="444" w:firstLineChars="200"/>
        <w:jc w:val="left"/>
        <w:rPr>
          <w:rFonts w:ascii="宋体" w:hAnsi="宋体" w:cs="宋体"/>
          <w:kern w:val="0"/>
          <w:szCs w:val="21"/>
        </w:rPr>
      </w:pPr>
      <w:r>
        <w:rPr>
          <w:rFonts w:hint="eastAsia" w:ascii="宋体" w:hAnsi="宋体" w:cs="宋体"/>
          <w:spacing w:val="6"/>
          <w:kern w:val="0"/>
          <w:szCs w:val="21"/>
        </w:rPr>
        <w:t>本公司对上述声明的真实性负责。如有虚假，将依法承担相应责任。</w:t>
      </w:r>
    </w:p>
    <w:p>
      <w:pPr>
        <w:widowControl/>
        <w:adjustRightInd w:val="0"/>
        <w:snapToGrid w:val="0"/>
        <w:spacing w:line="360" w:lineRule="auto"/>
        <w:ind w:firstLine="420" w:firstLineChars="200"/>
        <w:jc w:val="center"/>
        <w:rPr>
          <w:rFonts w:ascii="宋体" w:hAnsi="宋体" w:cs="宋体"/>
          <w:kern w:val="0"/>
          <w:szCs w:val="21"/>
        </w:rPr>
      </w:pPr>
    </w:p>
    <w:p>
      <w:pPr>
        <w:widowControl/>
        <w:adjustRightInd w:val="0"/>
        <w:snapToGrid w:val="0"/>
        <w:spacing w:line="360" w:lineRule="auto"/>
        <w:ind w:firstLine="444" w:firstLineChars="200"/>
        <w:jc w:val="center"/>
        <w:rPr>
          <w:rFonts w:ascii="宋体" w:hAnsi="宋体" w:cs="宋体"/>
          <w:spacing w:val="6"/>
          <w:kern w:val="0"/>
          <w:szCs w:val="21"/>
          <w:u w:val="single"/>
        </w:rPr>
      </w:pPr>
      <w:r>
        <w:rPr>
          <w:rFonts w:hint="eastAsia" w:ascii="宋体" w:hAnsi="宋体" w:cs="宋体"/>
          <w:spacing w:val="6"/>
          <w:kern w:val="0"/>
          <w:szCs w:val="21"/>
        </w:rPr>
        <w:t xml:space="preserve">             供应商名称（盖单位公章）：</w:t>
      </w:r>
    </w:p>
    <w:p>
      <w:pPr>
        <w:widowControl/>
        <w:adjustRightInd w:val="0"/>
        <w:snapToGrid w:val="0"/>
        <w:spacing w:line="360" w:lineRule="auto"/>
        <w:ind w:firstLine="444" w:firstLineChars="200"/>
        <w:jc w:val="center"/>
        <w:rPr>
          <w:rFonts w:ascii="宋体" w:hAnsi="宋体" w:cs="宋体"/>
          <w:spacing w:val="6"/>
          <w:kern w:val="0"/>
          <w:szCs w:val="21"/>
          <w:u w:val="single"/>
        </w:rPr>
      </w:pPr>
      <w:r>
        <w:rPr>
          <w:rFonts w:hint="eastAsia" w:ascii="宋体" w:hAnsi="宋体" w:cs="宋体"/>
          <w:spacing w:val="6"/>
          <w:kern w:val="0"/>
          <w:szCs w:val="21"/>
        </w:rPr>
        <w:t xml:space="preserve">                   日 期：</w:t>
      </w:r>
    </w:p>
    <w:p>
      <w:pPr>
        <w:widowControl/>
        <w:adjustRightInd w:val="0"/>
        <w:snapToGrid w:val="0"/>
        <w:spacing w:line="360" w:lineRule="auto"/>
        <w:ind w:firstLine="446" w:firstLineChars="200"/>
        <w:jc w:val="center"/>
        <w:rPr>
          <w:rFonts w:ascii="宋体" w:hAnsi="宋体" w:cs="宋体"/>
          <w:b/>
          <w:spacing w:val="6"/>
          <w:kern w:val="0"/>
          <w:szCs w:val="21"/>
          <w:u w:val="single"/>
        </w:rPr>
      </w:pPr>
    </w:p>
    <w:p>
      <w:pPr>
        <w:widowControl/>
        <w:adjustRightInd w:val="0"/>
        <w:snapToGrid w:val="0"/>
        <w:spacing w:line="360" w:lineRule="auto"/>
        <w:ind w:firstLine="446" w:firstLineChars="200"/>
        <w:jc w:val="left"/>
        <w:rPr>
          <w:rFonts w:ascii="宋体" w:hAnsi="宋体" w:cs="宋体"/>
          <w:b/>
          <w:bCs/>
          <w:spacing w:val="6"/>
          <w:kern w:val="0"/>
          <w:szCs w:val="21"/>
        </w:rPr>
      </w:pPr>
    </w:p>
    <w:p>
      <w:pPr>
        <w:adjustRightInd w:val="0"/>
        <w:snapToGrid w:val="0"/>
        <w:spacing w:beforeLines="50" w:line="360" w:lineRule="auto"/>
        <w:rPr>
          <w:rFonts w:ascii="宋体" w:hAnsi="宋体"/>
          <w:spacing w:val="6"/>
        </w:rPr>
      </w:pPr>
      <w:r>
        <w:rPr>
          <w:rFonts w:ascii="黑体" w:hAnsi="华文中宋" w:cs="宋体"/>
          <w:spacing w:val="6"/>
          <w:kern w:val="0"/>
        </w:rPr>
        <w:br w:type="page"/>
      </w:r>
      <w:bookmarkStart w:id="78" w:name="_Toc22201164"/>
      <w:r>
        <w:rPr>
          <w:rFonts w:hint="eastAsia" w:ascii="宋体" w:hAnsi="宋体" w:cs="宋体"/>
          <w:spacing w:val="6"/>
          <w:kern w:val="0"/>
        </w:rPr>
        <w:t xml:space="preserve">附件9-2 </w:t>
      </w:r>
      <w:r>
        <w:rPr>
          <w:rFonts w:hint="eastAsia" w:ascii="宋体" w:hAnsi="宋体"/>
          <w:spacing w:val="6"/>
        </w:rPr>
        <w:t>残疾人福利性单位声明函</w:t>
      </w:r>
      <w:bookmarkEnd w:id="78"/>
    </w:p>
    <w:p>
      <w:pPr>
        <w:adjustRightInd w:val="0"/>
        <w:snapToGrid w:val="0"/>
        <w:spacing w:line="360" w:lineRule="auto"/>
        <w:jc w:val="center"/>
        <w:rPr>
          <w:rFonts w:ascii="黑体" w:hAnsi="黑体" w:eastAsia="黑体"/>
          <w:b/>
          <w:spacing w:val="6"/>
          <w:sz w:val="28"/>
          <w:szCs w:val="28"/>
        </w:rPr>
      </w:pPr>
      <w:r>
        <w:rPr>
          <w:rFonts w:hint="eastAsia" w:ascii="黑体" w:hAnsi="黑体" w:eastAsia="黑体"/>
          <w:b/>
          <w:spacing w:val="6"/>
          <w:sz w:val="28"/>
          <w:szCs w:val="28"/>
        </w:rPr>
        <w:t>残疾人福利性单位声明函</w:t>
      </w:r>
    </w:p>
    <w:p>
      <w:pPr>
        <w:adjustRightInd w:val="0"/>
        <w:snapToGrid w:val="0"/>
        <w:spacing w:line="360" w:lineRule="auto"/>
        <w:jc w:val="center"/>
        <w:rPr>
          <w:rFonts w:ascii="宋体" w:hAnsi="宋体"/>
          <w:b/>
          <w:spacing w:val="6"/>
          <w:szCs w:val="21"/>
        </w:rPr>
      </w:pPr>
      <w:r>
        <w:rPr>
          <w:rFonts w:hint="eastAsia" w:ascii="宋体" w:hAnsi="宋体"/>
          <w:b/>
          <w:spacing w:val="6"/>
          <w:szCs w:val="21"/>
        </w:rPr>
        <w:t>(不属于残疾人福利性单位的无需填写)</w:t>
      </w:r>
    </w:p>
    <w:p>
      <w:pPr>
        <w:adjustRightInd w:val="0"/>
        <w:snapToGrid w:val="0"/>
        <w:spacing w:line="360" w:lineRule="auto"/>
        <w:ind w:firstLine="444" w:firstLineChars="200"/>
        <w:rPr>
          <w:rFonts w:ascii="宋体" w:hAnsi="宋体"/>
          <w:spacing w:val="6"/>
          <w:szCs w:val="21"/>
        </w:rPr>
      </w:pPr>
    </w:p>
    <w:p>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本单位郑重声明，根据《财政部 民政部 中国残疾人联合会关于促进残疾人就业政府采购政策的通知》（财库</w:t>
      </w:r>
      <w:r>
        <w:rPr>
          <w:rFonts w:hint="eastAsia" w:ascii="宋体" w:hAnsi="宋体"/>
          <w:szCs w:val="21"/>
        </w:rPr>
        <w:t>〔2017〕141</w:t>
      </w:r>
      <w:r>
        <w:rPr>
          <w:rFonts w:hint="eastAsia" w:ascii="宋体" w:hAnsi="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44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pPr>
        <w:adjustRightInd w:val="0"/>
        <w:snapToGrid w:val="0"/>
        <w:spacing w:line="360" w:lineRule="auto"/>
        <w:ind w:firstLine="444" w:firstLineChars="200"/>
        <w:rPr>
          <w:rFonts w:ascii="宋体" w:hAnsi="宋体"/>
          <w:spacing w:val="6"/>
          <w:szCs w:val="21"/>
        </w:rPr>
      </w:pPr>
    </w:p>
    <w:p>
      <w:pPr>
        <w:adjustRightInd w:val="0"/>
        <w:snapToGrid w:val="0"/>
        <w:spacing w:line="360" w:lineRule="auto"/>
        <w:ind w:firstLine="444" w:firstLineChars="200"/>
        <w:rPr>
          <w:rFonts w:ascii="宋体" w:hAnsi="宋体"/>
          <w:spacing w:val="6"/>
          <w:szCs w:val="21"/>
        </w:rPr>
      </w:pPr>
    </w:p>
    <w:p>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单位名称（盖章）：</w:t>
      </w:r>
    </w:p>
    <w:p>
      <w:pPr>
        <w:tabs>
          <w:tab w:val="left" w:pos="4860"/>
        </w:tabs>
        <w:adjustRightInd w:val="0"/>
        <w:snapToGrid w:val="0"/>
        <w:spacing w:line="360" w:lineRule="auto"/>
        <w:ind w:right="1560" w:firstLine="444" w:firstLineChars="200"/>
        <w:jc w:val="center"/>
        <w:rPr>
          <w:rFonts w:ascii="宋体" w:hAnsi="宋体"/>
          <w:spacing w:val="6"/>
          <w:szCs w:val="21"/>
        </w:rPr>
      </w:pPr>
      <w:r>
        <w:rPr>
          <w:rFonts w:hint="eastAsia" w:ascii="宋体" w:hAnsi="宋体"/>
          <w:spacing w:val="6"/>
          <w:szCs w:val="21"/>
        </w:rPr>
        <w:t xml:space="preserve">       日  期：</w:t>
      </w:r>
    </w:p>
    <w:p>
      <w:pPr>
        <w:widowControl/>
        <w:adjustRightInd w:val="0"/>
        <w:snapToGrid w:val="0"/>
        <w:spacing w:line="360" w:lineRule="auto"/>
        <w:jc w:val="left"/>
        <w:rPr>
          <w:rFonts w:ascii="宋体" w:hAnsi="宋体" w:cs="宋体"/>
          <w:kern w:val="0"/>
          <w:szCs w:val="21"/>
        </w:rPr>
      </w:pPr>
    </w:p>
    <w:p>
      <w:pPr>
        <w:pStyle w:val="7"/>
        <w:rPr>
          <w:rFonts w:ascii="宋体" w:hAnsi="宋体"/>
          <w:sz w:val="21"/>
          <w:szCs w:val="21"/>
        </w:rPr>
      </w:pPr>
      <w:r>
        <w:rPr>
          <w:rFonts w:ascii="黑体" w:hAnsi="华文中宋" w:cs="宋体"/>
          <w:spacing w:val="6"/>
          <w:kern w:val="0"/>
        </w:rPr>
        <w:br w:type="page"/>
      </w:r>
      <w:bookmarkStart w:id="79" w:name="_Toc22201165"/>
      <w:bookmarkStart w:id="80" w:name="_Toc6008"/>
      <w:r>
        <w:rPr>
          <w:rFonts w:hint="eastAsia" w:ascii="宋体" w:hAnsi="宋体" w:cs="宋体"/>
          <w:kern w:val="0"/>
          <w:sz w:val="21"/>
          <w:szCs w:val="21"/>
        </w:rPr>
        <w:t xml:space="preserve">附件9-3 </w:t>
      </w:r>
      <w:r>
        <w:rPr>
          <w:rFonts w:hint="eastAsia" w:ascii="宋体" w:hAnsi="宋体"/>
          <w:sz w:val="21"/>
          <w:szCs w:val="21"/>
        </w:rPr>
        <w:t>监狱企业证明资料</w:t>
      </w:r>
      <w:bookmarkEnd w:id="79"/>
      <w:bookmarkEnd w:id="80"/>
    </w:p>
    <w:p>
      <w:pPr>
        <w:adjustRightInd w:val="0"/>
        <w:snapToGrid w:val="0"/>
        <w:spacing w:line="360" w:lineRule="auto"/>
        <w:jc w:val="center"/>
        <w:rPr>
          <w:rFonts w:ascii="黑体" w:hAnsi="宋体"/>
          <w:b/>
          <w:sz w:val="28"/>
          <w:szCs w:val="28"/>
        </w:rPr>
      </w:pPr>
      <w:r>
        <w:rPr>
          <w:rFonts w:hint="eastAsia" w:ascii="黑体" w:hAnsi="宋体"/>
          <w:b/>
          <w:sz w:val="28"/>
          <w:szCs w:val="28"/>
        </w:rPr>
        <w:t>监狱企业证明资料</w:t>
      </w:r>
    </w:p>
    <w:p>
      <w:pPr>
        <w:adjustRightInd w:val="0"/>
        <w:snapToGrid w:val="0"/>
        <w:spacing w:line="360" w:lineRule="auto"/>
        <w:jc w:val="center"/>
        <w:rPr>
          <w:rFonts w:ascii="宋体" w:hAnsi="宋体"/>
          <w:b/>
          <w:spacing w:val="6"/>
          <w:szCs w:val="21"/>
        </w:rPr>
      </w:pPr>
      <w:r>
        <w:rPr>
          <w:rFonts w:hint="eastAsia" w:ascii="宋体" w:hAnsi="宋体"/>
          <w:b/>
          <w:spacing w:val="6"/>
          <w:szCs w:val="21"/>
        </w:rPr>
        <w:t>(不属于监狱企业的无需提供)</w:t>
      </w:r>
    </w:p>
    <w:p>
      <w:pPr>
        <w:adjustRightInd w:val="0"/>
        <w:snapToGrid w:val="0"/>
        <w:spacing w:line="360" w:lineRule="auto"/>
        <w:rPr>
          <w:rFonts w:ascii="宋体" w:hAnsi="宋体"/>
          <w:szCs w:val="21"/>
        </w:rPr>
      </w:pPr>
    </w:p>
    <w:p>
      <w:pPr>
        <w:adjustRightInd w:val="0"/>
        <w:snapToGrid w:val="0"/>
        <w:spacing w:line="360" w:lineRule="auto"/>
        <w:ind w:firstLine="444" w:firstLineChars="200"/>
        <w:rPr>
          <w:rFonts w:ascii="宋体" w:hAnsi="宋体"/>
          <w:szCs w:val="21"/>
        </w:rPr>
      </w:pPr>
      <w:r>
        <w:rPr>
          <w:rFonts w:hint="eastAsia" w:ascii="宋体" w:hAnsi="宋体" w:cs="宋体"/>
          <w:bCs/>
          <w:spacing w:val="6"/>
          <w:kern w:val="0"/>
          <w:szCs w:val="21"/>
        </w:rPr>
        <w:t>备注：</w:t>
      </w:r>
      <w:r>
        <w:rPr>
          <w:rFonts w:hint="eastAsia" w:ascii="宋体" w:hAnsi="宋体"/>
          <w:szCs w:val="21"/>
        </w:rPr>
        <w:t>按</w:t>
      </w:r>
      <w:r>
        <w:rPr>
          <w:rFonts w:hint="eastAsia" w:ascii="宋体" w:hAnsi="宋体"/>
          <w:spacing w:val="6"/>
          <w:szCs w:val="21"/>
        </w:rPr>
        <w:t>《</w:t>
      </w:r>
      <w:r>
        <w:rPr>
          <w:rFonts w:hint="eastAsia" w:ascii="宋体" w:hAnsi="宋体"/>
          <w:szCs w:val="21"/>
        </w:rPr>
        <w:t>财政部 司法部关于政府采购支持监狱企业发展有关问题的通知</w:t>
      </w:r>
      <w:r>
        <w:rPr>
          <w:rFonts w:hint="eastAsia" w:ascii="宋体" w:hAnsi="宋体"/>
          <w:spacing w:val="6"/>
          <w:szCs w:val="21"/>
        </w:rPr>
        <w:t>》</w:t>
      </w:r>
      <w:r>
        <w:rPr>
          <w:rFonts w:hint="eastAsia" w:ascii="宋体" w:hAnsi="宋体"/>
          <w:szCs w:val="21"/>
        </w:rPr>
        <w:t>(财库〔2014〕68号)文件规定提供证明文件（复印件）。</w:t>
      </w:r>
    </w:p>
    <w:p>
      <w:pPr>
        <w:rPr>
          <w:rFonts w:ascii="宋体" w:hAnsi="宋体"/>
          <w:szCs w:val="21"/>
        </w:rPr>
      </w:pPr>
      <w:r>
        <w:rPr>
          <w:rFonts w:hint="eastAsia" w:ascii="宋体" w:hAnsi="宋体"/>
          <w:szCs w:val="21"/>
        </w:rPr>
        <w:br w:type="page"/>
      </w:r>
    </w:p>
    <w:p>
      <w:pPr>
        <w:pStyle w:val="2"/>
      </w:pPr>
    </w:p>
    <w:p>
      <w:pPr>
        <w:adjustRightInd w:val="0"/>
        <w:snapToGrid w:val="0"/>
        <w:spacing w:line="360" w:lineRule="auto"/>
        <w:ind w:firstLine="420" w:firstLineChars="200"/>
        <w:rPr>
          <w:rFonts w:ascii="宋体" w:hAnsi="宋体"/>
          <w:szCs w:val="21"/>
        </w:rPr>
      </w:pPr>
    </w:p>
    <w:p>
      <w:pPr>
        <w:adjustRightInd w:val="0"/>
        <w:snapToGrid w:val="0"/>
        <w:spacing w:line="360" w:lineRule="auto"/>
        <w:ind w:firstLine="420" w:firstLineChars="200"/>
        <w:rPr>
          <w:rFonts w:ascii="宋体" w:hAnsi="宋体"/>
          <w:szCs w:val="21"/>
        </w:rPr>
      </w:pPr>
    </w:p>
    <w:p>
      <w:pPr>
        <w:pStyle w:val="8"/>
        <w:rPr>
          <w:rFonts w:ascii="宋体" w:hAnsi="宋体" w:eastAsia="宋体"/>
          <w:sz w:val="21"/>
          <w:szCs w:val="21"/>
        </w:rPr>
      </w:pPr>
      <w:bookmarkStart w:id="81" w:name="_Toc22201163"/>
      <w:r>
        <w:rPr>
          <w:rFonts w:hint="eastAsia" w:ascii="宋体" w:hAnsi="宋体" w:eastAsia="宋体" w:cs="宋体"/>
          <w:spacing w:val="6"/>
          <w:kern w:val="0"/>
          <w:sz w:val="21"/>
          <w:szCs w:val="21"/>
        </w:rPr>
        <w:t xml:space="preserve">附页1 </w:t>
      </w:r>
      <w:r>
        <w:rPr>
          <w:rFonts w:hint="eastAsia" w:ascii="宋体" w:hAnsi="宋体" w:eastAsia="宋体"/>
          <w:sz w:val="21"/>
          <w:szCs w:val="21"/>
        </w:rPr>
        <w:t>价格评审优惠货物清单</w:t>
      </w:r>
      <w:bookmarkEnd w:id="81"/>
    </w:p>
    <w:p>
      <w:pPr>
        <w:adjustRightInd w:val="0"/>
        <w:snapToGrid w:val="0"/>
        <w:spacing w:before="50" w:line="360" w:lineRule="auto"/>
        <w:jc w:val="center"/>
        <w:rPr>
          <w:rFonts w:ascii="宋体" w:hAnsi="宋体"/>
          <w:szCs w:val="21"/>
        </w:rPr>
      </w:pPr>
      <w:r>
        <w:rPr>
          <w:rFonts w:hint="eastAsia" w:ascii="黑体" w:hAnsi="宋体" w:eastAsia="黑体"/>
          <w:b/>
          <w:sz w:val="28"/>
          <w:szCs w:val="28"/>
        </w:rPr>
        <w:t>价格评审优惠货物清单</w:t>
      </w:r>
    </w:p>
    <w:p>
      <w:pPr>
        <w:adjustRightInd w:val="0"/>
        <w:snapToGrid w:val="0"/>
        <w:spacing w:before="50"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p>
    <w:p>
      <w:pPr>
        <w:adjustRightInd w:val="0"/>
        <w:snapToGrid w:val="0"/>
        <w:spacing w:before="50" w:line="360" w:lineRule="auto"/>
        <w:rPr>
          <w:rFonts w:ascii="宋体" w:hAnsi="宋体"/>
          <w:szCs w:val="21"/>
        </w:rPr>
      </w:pPr>
      <w:r>
        <w:rPr>
          <w:rFonts w:hint="eastAsia" w:ascii="宋体" w:hAnsi="宋体"/>
          <w:szCs w:val="21"/>
        </w:rPr>
        <w:t>包       号：</w:t>
      </w:r>
      <w:r>
        <w:rPr>
          <w:rFonts w:hint="eastAsia" w:ascii="宋体" w:hAnsi="宋体"/>
          <w:szCs w:val="21"/>
          <w:u w:val="single"/>
        </w:rPr>
        <w:t>__    ________</w:t>
      </w:r>
      <w:r>
        <w:rPr>
          <w:rFonts w:hint="eastAsia" w:ascii="宋体" w:hAnsi="宋体"/>
          <w:szCs w:val="21"/>
        </w:rPr>
        <w:t xml:space="preserve">                        包名称：</w:t>
      </w:r>
      <w:r>
        <w:rPr>
          <w:rFonts w:hint="eastAsia" w:ascii="宋体" w:hAnsi="宋体"/>
          <w:szCs w:val="21"/>
          <w:u w:val="single"/>
        </w:rPr>
        <w:t>___          _______</w:t>
      </w:r>
    </w:p>
    <w:tbl>
      <w:tblPr>
        <w:tblStyle w:val="43"/>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13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8789" w:type="dxa"/>
            <w:gridSpan w:val="7"/>
            <w:vAlign w:val="center"/>
          </w:tcPr>
          <w:p>
            <w:pPr>
              <w:widowControl/>
              <w:adjustRightInd w:val="0"/>
              <w:snapToGrid w:val="0"/>
              <w:spacing w:line="360" w:lineRule="auto"/>
              <w:ind w:firstLine="480" w:firstLineChars="200"/>
              <w:jc w:val="left"/>
              <w:rPr>
                <w:rFonts w:ascii="黑体" w:hAnsi="宋体" w:eastAsia="黑体"/>
                <w:kern w:val="0"/>
                <w:sz w:val="24"/>
              </w:rPr>
            </w:pPr>
            <w:r>
              <w:rPr>
                <w:rFonts w:hint="eastAsia" w:ascii="黑体" w:hAnsi="宋体" w:eastAsia="黑体"/>
                <w:kern w:val="0"/>
                <w:sz w:val="24"/>
              </w:rPr>
              <w:t>以下为供应商提供的享受价格评审优惠的货物，供应商对本表的真实性负责。如有虚假，将依法承担相应责任。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113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2</w:t>
            </w:r>
          </w:p>
        </w:tc>
        <w:tc>
          <w:tcPr>
            <w:tcW w:w="1134" w:type="dxa"/>
            <w:tcBorders>
              <w:right w:val="single" w:color="auto" w:sz="4" w:space="0"/>
            </w:tcBorders>
            <w:vAlign w:val="center"/>
          </w:tcPr>
          <w:p>
            <w:pPr>
              <w:adjustRightInd w:val="0"/>
              <w:snapToGrid w:val="0"/>
              <w:spacing w:line="360" w:lineRule="auto"/>
              <w:jc w:val="center"/>
              <w:rPr>
                <w:rFonts w:ascii="宋体" w:hAnsi="宋体"/>
                <w:kern w:val="0"/>
                <w:szCs w:val="21"/>
              </w:rPr>
            </w:pPr>
            <w:r>
              <w:rPr>
                <w:rFonts w:hint="eastAsia" w:ascii="宋体" w:hAnsi="宋体"/>
                <w:kern w:val="0"/>
                <w:szCs w:val="21"/>
              </w:rPr>
              <w:t>3</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4</w:t>
            </w:r>
          </w:p>
        </w:tc>
        <w:tc>
          <w:tcPr>
            <w:tcW w:w="1701"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5</w:t>
            </w:r>
          </w:p>
        </w:tc>
        <w:tc>
          <w:tcPr>
            <w:tcW w:w="1843"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6</w:t>
            </w:r>
          </w:p>
        </w:tc>
        <w:tc>
          <w:tcPr>
            <w:tcW w:w="113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113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价格（元）</w:t>
            </w:r>
          </w:p>
        </w:tc>
        <w:tc>
          <w:tcPr>
            <w:tcW w:w="1701"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货物制造商名称</w:t>
            </w:r>
          </w:p>
        </w:tc>
        <w:tc>
          <w:tcPr>
            <w:tcW w:w="1843"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货物制造商类型</w:t>
            </w:r>
          </w:p>
        </w:tc>
        <w:tc>
          <w:tcPr>
            <w:tcW w:w="113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701" w:type="dxa"/>
            <w:vAlign w:val="center"/>
          </w:tcPr>
          <w:p>
            <w:pPr>
              <w:adjustRightInd w:val="0"/>
              <w:snapToGrid w:val="0"/>
              <w:spacing w:line="360" w:lineRule="auto"/>
              <w:jc w:val="center"/>
              <w:rPr>
                <w:rFonts w:ascii="宋体" w:hAnsi="宋体"/>
                <w:szCs w:val="21"/>
              </w:rPr>
            </w:pPr>
          </w:p>
        </w:tc>
        <w:tc>
          <w:tcPr>
            <w:tcW w:w="1843" w:type="dxa"/>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701" w:type="dxa"/>
            <w:vAlign w:val="center"/>
          </w:tcPr>
          <w:p>
            <w:pPr>
              <w:adjustRightInd w:val="0"/>
              <w:snapToGrid w:val="0"/>
              <w:spacing w:line="360" w:lineRule="auto"/>
              <w:jc w:val="center"/>
              <w:rPr>
                <w:rFonts w:ascii="宋体" w:hAnsi="宋体"/>
                <w:szCs w:val="21"/>
              </w:rPr>
            </w:pPr>
          </w:p>
        </w:tc>
        <w:tc>
          <w:tcPr>
            <w:tcW w:w="1843" w:type="dxa"/>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701" w:type="dxa"/>
            <w:vAlign w:val="center"/>
          </w:tcPr>
          <w:p>
            <w:pPr>
              <w:adjustRightInd w:val="0"/>
              <w:snapToGrid w:val="0"/>
              <w:spacing w:line="360" w:lineRule="auto"/>
              <w:jc w:val="center"/>
              <w:rPr>
                <w:rFonts w:ascii="宋体" w:hAnsi="宋体"/>
                <w:szCs w:val="21"/>
              </w:rPr>
            </w:pPr>
          </w:p>
        </w:tc>
        <w:tc>
          <w:tcPr>
            <w:tcW w:w="1843" w:type="dxa"/>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701" w:type="dxa"/>
            <w:vAlign w:val="center"/>
          </w:tcPr>
          <w:p>
            <w:pPr>
              <w:adjustRightInd w:val="0"/>
              <w:snapToGrid w:val="0"/>
              <w:spacing w:line="360" w:lineRule="auto"/>
              <w:jc w:val="center"/>
              <w:rPr>
                <w:rFonts w:ascii="宋体" w:hAnsi="宋体"/>
                <w:szCs w:val="21"/>
              </w:rPr>
            </w:pPr>
          </w:p>
        </w:tc>
        <w:tc>
          <w:tcPr>
            <w:tcW w:w="1843" w:type="dxa"/>
          </w:tcPr>
          <w:p>
            <w:pPr>
              <w:adjustRightInd w:val="0"/>
              <w:snapToGrid w:val="0"/>
              <w:spacing w:line="360" w:lineRule="auto"/>
              <w:jc w:val="center"/>
              <w:rPr>
                <w:rFonts w:ascii="宋体" w:hAnsi="宋体"/>
                <w:szCs w:val="21"/>
              </w:rPr>
            </w:pPr>
          </w:p>
        </w:tc>
        <w:tc>
          <w:tcPr>
            <w:tcW w:w="1134" w:type="dxa"/>
            <w:vAlign w:val="center"/>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宋体" w:hAnsi="宋体"/>
                <w:szCs w:val="21"/>
              </w:rPr>
            </w:pPr>
            <w:r>
              <w:rPr>
                <w:rFonts w:hint="eastAsia" w:ascii="宋体" w:hAnsi="宋体"/>
                <w:szCs w:val="21"/>
              </w:rPr>
              <w:t>小计</w:t>
            </w:r>
          </w:p>
        </w:tc>
        <w:tc>
          <w:tcPr>
            <w:tcW w:w="1134" w:type="dxa"/>
            <w:vAlign w:val="center"/>
          </w:tcPr>
          <w:p>
            <w:pPr>
              <w:adjustRightInd w:val="0"/>
              <w:snapToGrid w:val="0"/>
              <w:spacing w:line="360" w:lineRule="auto"/>
              <w:jc w:val="center"/>
              <w:rPr>
                <w:rFonts w:ascii="宋体" w:hAnsi="宋体"/>
                <w:szCs w:val="21"/>
              </w:rPr>
            </w:pPr>
            <w:r>
              <w:rPr>
                <w:rFonts w:hint="eastAsia" w:ascii="宋体" w:hAnsi="宋体"/>
                <w:b/>
                <w:szCs w:val="21"/>
              </w:rPr>
              <w:t>/</w:t>
            </w: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134"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701" w:type="dxa"/>
            <w:vAlign w:val="center"/>
          </w:tcPr>
          <w:p>
            <w:pPr>
              <w:adjustRightInd w:val="0"/>
              <w:snapToGrid w:val="0"/>
              <w:spacing w:line="360" w:lineRule="auto"/>
              <w:jc w:val="center"/>
              <w:rPr>
                <w:rFonts w:ascii="宋体" w:hAnsi="宋体"/>
                <w:szCs w:val="21"/>
              </w:rPr>
            </w:pPr>
            <w:r>
              <w:rPr>
                <w:rFonts w:hint="eastAsia" w:ascii="宋体" w:hAnsi="宋体"/>
                <w:b/>
                <w:szCs w:val="21"/>
              </w:rPr>
              <w:t>/</w:t>
            </w:r>
          </w:p>
        </w:tc>
        <w:tc>
          <w:tcPr>
            <w:tcW w:w="1843" w:type="dxa"/>
            <w:vAlign w:val="center"/>
          </w:tcPr>
          <w:p>
            <w:pPr>
              <w:adjustRightInd w:val="0"/>
              <w:snapToGrid w:val="0"/>
              <w:spacing w:line="360" w:lineRule="auto"/>
              <w:jc w:val="center"/>
              <w:rPr>
                <w:rFonts w:ascii="宋体" w:hAnsi="宋体"/>
                <w:szCs w:val="21"/>
              </w:rPr>
            </w:pPr>
            <w:r>
              <w:rPr>
                <w:rFonts w:hint="eastAsia" w:ascii="宋体" w:hAnsi="宋体"/>
                <w:b/>
                <w:szCs w:val="21"/>
              </w:rPr>
              <w:t>/</w:t>
            </w:r>
          </w:p>
        </w:tc>
        <w:tc>
          <w:tcPr>
            <w:tcW w:w="1134" w:type="dxa"/>
            <w:vAlign w:val="center"/>
          </w:tcPr>
          <w:p>
            <w:pPr>
              <w:adjustRightInd w:val="0"/>
              <w:snapToGrid w:val="0"/>
              <w:spacing w:line="360" w:lineRule="auto"/>
              <w:jc w:val="center"/>
              <w:rPr>
                <w:rFonts w:ascii="宋体" w:hAnsi="宋体"/>
                <w:szCs w:val="21"/>
              </w:rPr>
            </w:pPr>
            <w:r>
              <w:rPr>
                <w:rFonts w:hint="eastAsia" w:ascii="宋体" w:hAnsi="宋体"/>
                <w:b/>
                <w:szCs w:val="21"/>
              </w:rPr>
              <w:t>/</w:t>
            </w:r>
          </w:p>
        </w:tc>
      </w:tr>
    </w:tbl>
    <w:p>
      <w:pPr>
        <w:adjustRightInd w:val="0"/>
        <w:snapToGrid w:val="0"/>
        <w:spacing w:line="360" w:lineRule="auto"/>
        <w:rPr>
          <w:rFonts w:ascii="宋体" w:hAnsi="宋体"/>
          <w:szCs w:val="21"/>
        </w:rPr>
      </w:pPr>
      <w:r>
        <w:rPr>
          <w:rFonts w:hint="eastAsia" w:ascii="宋体" w:hAnsi="宋体"/>
          <w:szCs w:val="21"/>
        </w:rPr>
        <w:t>说明：1、本清单用于计算政府采购价格评审优惠应享受的政府采购政策价格扣除。提供附件9-1、附件9-2、附件9-3的，且提供的货物为小型、微型企业制造的，包括视同小型、微型企业，享受评审中价格扣除的监狱企业、残疾人福利性单位制造的货物。货物制造商类型填写小型、微型企业或监狱企业或残疾人福利性单位。</w:t>
      </w:r>
    </w:p>
    <w:p>
      <w:pPr>
        <w:adjustRightInd w:val="0"/>
        <w:snapToGrid w:val="0"/>
        <w:spacing w:line="360" w:lineRule="auto"/>
        <w:ind w:firstLine="630" w:firstLineChars="300"/>
        <w:rPr>
          <w:rFonts w:ascii="宋体" w:hAnsi="宋体"/>
          <w:szCs w:val="21"/>
        </w:rPr>
      </w:pPr>
      <w:r>
        <w:rPr>
          <w:rFonts w:hint="eastAsia" w:ascii="宋体" w:hAnsi="宋体"/>
          <w:szCs w:val="21"/>
        </w:rPr>
        <w:t>2、栏目4“价格”为综合单价，包含该货物所有隐含的内容，如运输费、保险费、安装调试费、管理费和利润等。</w:t>
      </w:r>
    </w:p>
    <w:p>
      <w:pPr>
        <w:adjustRightInd w:val="0"/>
        <w:snapToGrid w:val="0"/>
        <w:spacing w:line="360" w:lineRule="auto"/>
        <w:ind w:firstLine="630" w:firstLineChars="300"/>
        <w:rPr>
          <w:rFonts w:ascii="宋体" w:hAnsi="宋体"/>
          <w:szCs w:val="21"/>
        </w:rPr>
      </w:pPr>
    </w:p>
    <w:p>
      <w:pPr>
        <w:adjustRightInd w:val="0"/>
        <w:snapToGrid w:val="0"/>
        <w:spacing w:line="360" w:lineRule="auto"/>
        <w:ind w:firstLine="630" w:firstLineChars="300"/>
        <w:rPr>
          <w:rFonts w:ascii="宋体" w:hAnsi="宋体"/>
          <w:szCs w:val="21"/>
        </w:rPr>
      </w:pPr>
    </w:p>
    <w:p>
      <w:pPr>
        <w:adjustRightInd w:val="0"/>
        <w:snapToGrid w:val="0"/>
        <w:spacing w:beforeLines="50" w:line="360" w:lineRule="auto"/>
        <w:rPr>
          <w:rFonts w:ascii="宋体" w:hAnsi="宋体"/>
          <w:szCs w:val="21"/>
        </w:rPr>
      </w:pPr>
      <w:r>
        <w:rPr>
          <w:rFonts w:hint="eastAsia" w:ascii="宋体" w:hAnsi="宋体"/>
          <w:szCs w:val="21"/>
        </w:rPr>
        <w:t>供应商名称（盖单位公章）：</w:t>
      </w:r>
    </w:p>
    <w:p>
      <w:pPr>
        <w:adjustRightInd w:val="0"/>
        <w:snapToGrid w:val="0"/>
        <w:spacing w:beforeLines="50"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pPr>
        <w:adjustRightInd w:val="0"/>
        <w:snapToGrid w:val="0"/>
        <w:spacing w:beforeLines="50" w:line="360" w:lineRule="auto"/>
      </w:pPr>
      <w:r>
        <w:rPr>
          <w:rFonts w:hint="eastAsia"/>
        </w:rPr>
        <w:t>日期：        年    月   日</w:t>
      </w:r>
    </w:p>
    <w:p>
      <w:pPr>
        <w:pStyle w:val="7"/>
        <w:rPr>
          <w:rFonts w:ascii="宋体" w:hAnsi="宋体"/>
          <w:sz w:val="21"/>
          <w:szCs w:val="21"/>
        </w:rPr>
      </w:pPr>
      <w:r>
        <w:rPr>
          <w:rFonts w:hAnsi="华文中宋" w:eastAsia="黑体" w:cs="宋体"/>
          <w:spacing w:val="6"/>
          <w:kern w:val="0"/>
        </w:rPr>
        <w:br w:type="page"/>
      </w:r>
      <w:bookmarkStart w:id="82" w:name="_Toc9172"/>
      <w:bookmarkStart w:id="83" w:name="_Toc22201166"/>
      <w:r>
        <w:rPr>
          <w:rFonts w:hint="eastAsia" w:ascii="宋体" w:hAnsi="宋体" w:cs="宋体"/>
          <w:spacing w:val="6"/>
          <w:kern w:val="0"/>
          <w:sz w:val="21"/>
          <w:szCs w:val="21"/>
        </w:rPr>
        <w:t xml:space="preserve">附件9-4 </w:t>
      </w:r>
      <w:r>
        <w:rPr>
          <w:rFonts w:hint="eastAsia" w:ascii="宋体" w:hAnsi="宋体"/>
          <w:sz w:val="21"/>
          <w:szCs w:val="21"/>
        </w:rPr>
        <w:t>强制采购或者优先采购产品的证明材料</w:t>
      </w:r>
      <w:bookmarkEnd w:id="82"/>
      <w:bookmarkEnd w:id="83"/>
    </w:p>
    <w:p>
      <w:pPr>
        <w:adjustRightInd w:val="0"/>
        <w:snapToGrid w:val="0"/>
        <w:spacing w:line="360" w:lineRule="auto"/>
        <w:jc w:val="center"/>
        <w:rPr>
          <w:rFonts w:ascii="黑体" w:hAnsi="黑体" w:eastAsia="黑体"/>
          <w:b/>
          <w:sz w:val="28"/>
          <w:szCs w:val="28"/>
        </w:rPr>
      </w:pPr>
      <w:r>
        <w:rPr>
          <w:rFonts w:hint="eastAsia" w:ascii="黑体" w:hAnsi="黑体" w:eastAsia="黑体"/>
          <w:b/>
          <w:sz w:val="28"/>
          <w:szCs w:val="28"/>
        </w:rPr>
        <w:t>强制采购或者优先采购产品</w:t>
      </w:r>
      <w:r>
        <w:rPr>
          <w:rFonts w:hint="eastAsia" w:ascii="黑体" w:hAnsi="黑体" w:eastAsia="黑体"/>
          <w:b/>
          <w:bCs/>
          <w:sz w:val="28"/>
          <w:szCs w:val="28"/>
        </w:rPr>
        <w:t>的</w:t>
      </w:r>
      <w:r>
        <w:rPr>
          <w:rFonts w:hint="eastAsia" w:ascii="黑体" w:hAnsi="黑体" w:eastAsia="黑体"/>
          <w:b/>
          <w:sz w:val="28"/>
          <w:szCs w:val="28"/>
        </w:rPr>
        <w:t>证明材料</w:t>
      </w:r>
    </w:p>
    <w:p>
      <w:pPr>
        <w:adjustRightInd w:val="0"/>
        <w:snapToGrid w:val="0"/>
        <w:spacing w:line="360" w:lineRule="auto"/>
        <w:jc w:val="center"/>
        <w:rPr>
          <w:rFonts w:ascii="宋体" w:hAnsi="宋体"/>
          <w:b/>
          <w:spacing w:val="6"/>
          <w:szCs w:val="21"/>
        </w:rPr>
      </w:pPr>
      <w:r>
        <w:rPr>
          <w:rFonts w:hint="eastAsia" w:ascii="宋体" w:hAnsi="宋体"/>
          <w:b/>
          <w:spacing w:val="6"/>
          <w:szCs w:val="21"/>
        </w:rPr>
        <w:t>(不属于强制采购或者优先采购产品的无需提供)</w:t>
      </w:r>
    </w:p>
    <w:p>
      <w:pPr>
        <w:adjustRightInd w:val="0"/>
        <w:snapToGrid w:val="0"/>
        <w:spacing w:line="360" w:lineRule="auto"/>
        <w:ind w:firstLine="420" w:firstLineChars="200"/>
        <w:jc w:val="left"/>
        <w:rPr>
          <w:rFonts w:ascii="宋体" w:hAnsi="宋体"/>
          <w:szCs w:val="21"/>
        </w:rPr>
      </w:pPr>
    </w:p>
    <w:p>
      <w:pPr>
        <w:adjustRightInd w:val="0"/>
        <w:snapToGrid w:val="0"/>
        <w:spacing w:line="360" w:lineRule="auto"/>
        <w:jc w:val="left"/>
        <w:rPr>
          <w:rFonts w:ascii="宋体" w:hAnsi="宋体"/>
          <w:szCs w:val="21"/>
        </w:rPr>
      </w:pPr>
      <w:r>
        <w:rPr>
          <w:rFonts w:hint="eastAsia" w:ascii="宋体" w:hAnsi="宋体"/>
          <w:szCs w:val="21"/>
        </w:rPr>
        <w:t>说明：1、供应商提供的产品</w:t>
      </w:r>
      <w:r>
        <w:rPr>
          <w:rFonts w:hint="eastAsia" w:ascii="宋体" w:hAnsi="宋体"/>
          <w:bCs/>
          <w:szCs w:val="21"/>
        </w:rPr>
        <w:t>属于强制采购或者优先采购的</w:t>
      </w:r>
      <w:r>
        <w:rPr>
          <w:rFonts w:hint="eastAsia" w:ascii="宋体" w:hAnsi="宋体"/>
          <w:szCs w:val="21"/>
        </w:rPr>
        <w:t>，应按第二章第二节第37条规定提供证明材料和本章本节附页2“优先采购产品清单”，并加盖供应商单位公章。</w:t>
      </w:r>
    </w:p>
    <w:p>
      <w:pPr>
        <w:adjustRightInd w:val="0"/>
        <w:snapToGrid w:val="0"/>
        <w:spacing w:line="360" w:lineRule="auto"/>
        <w:ind w:firstLine="630" w:firstLineChars="300"/>
        <w:jc w:val="left"/>
        <w:rPr>
          <w:rFonts w:ascii="宋体" w:hAnsi="宋体"/>
          <w:szCs w:val="21"/>
        </w:rPr>
      </w:pPr>
      <w:r>
        <w:rPr>
          <w:rFonts w:hint="eastAsia" w:ascii="宋体" w:hAnsi="宋体"/>
          <w:szCs w:val="21"/>
        </w:rPr>
        <w:t>2、节能产品、环境标志产品(强制采购或者优先采购产品)认证证书内容</w:t>
      </w:r>
      <w:r>
        <w:rPr>
          <w:rFonts w:hint="eastAsia" w:asciiTheme="minorEastAsia" w:hAnsiTheme="minorEastAsia" w:eastAsiaTheme="minorEastAsia"/>
          <w:szCs w:val="21"/>
        </w:rPr>
        <w:t>注明“详见证</w:t>
      </w:r>
      <w:r>
        <w:rPr>
          <w:rFonts w:hint="eastAsia" w:ascii="宋体" w:hAnsi="宋体"/>
          <w:szCs w:val="21"/>
        </w:rPr>
        <w:t>书附件</w:t>
      </w:r>
      <w:r>
        <w:rPr>
          <w:rFonts w:hint="eastAsia" w:ascii="华文中宋" w:hAnsi="华文中宋" w:eastAsia="华文中宋"/>
          <w:szCs w:val="21"/>
        </w:rPr>
        <w:t>”</w:t>
      </w:r>
      <w:r>
        <w:rPr>
          <w:rFonts w:hint="eastAsia" w:ascii="宋体" w:hAnsi="宋体"/>
          <w:szCs w:val="21"/>
        </w:rPr>
        <w:t>的，应提供其附件，以证明认证证书与响应文件一致。</w:t>
      </w:r>
    </w:p>
    <w:p>
      <w:pPr>
        <w:adjustRightInd w:val="0"/>
        <w:snapToGrid w:val="0"/>
        <w:spacing w:line="360" w:lineRule="auto"/>
        <w:ind w:firstLine="420" w:firstLineChars="200"/>
        <w:jc w:val="left"/>
        <w:rPr>
          <w:rFonts w:ascii="宋体" w:hAnsi="宋体"/>
          <w:szCs w:val="21"/>
        </w:rPr>
      </w:pPr>
    </w:p>
    <w:p>
      <w:pPr>
        <w:pStyle w:val="8"/>
        <w:rPr>
          <w:rFonts w:ascii="宋体" w:hAnsi="宋体" w:eastAsia="宋体"/>
          <w:sz w:val="21"/>
          <w:szCs w:val="21"/>
        </w:rPr>
      </w:pPr>
      <w:r>
        <w:br w:type="page"/>
      </w:r>
      <w:bookmarkStart w:id="84" w:name="_Toc22201167"/>
      <w:r>
        <w:rPr>
          <w:rFonts w:hint="eastAsia" w:ascii="宋体" w:hAnsi="宋体" w:eastAsia="宋体" w:cs="宋体"/>
          <w:spacing w:val="6"/>
          <w:kern w:val="0"/>
          <w:sz w:val="21"/>
          <w:szCs w:val="21"/>
        </w:rPr>
        <w:t xml:space="preserve">附页2 </w:t>
      </w:r>
      <w:r>
        <w:rPr>
          <w:rFonts w:hint="eastAsia" w:ascii="宋体" w:hAnsi="宋体" w:eastAsia="宋体"/>
          <w:sz w:val="21"/>
          <w:szCs w:val="21"/>
        </w:rPr>
        <w:t>优先采购产品清单</w:t>
      </w:r>
      <w:bookmarkEnd w:id="84"/>
    </w:p>
    <w:p>
      <w:pPr>
        <w:adjustRightInd w:val="0"/>
        <w:snapToGrid w:val="0"/>
        <w:spacing w:line="360" w:lineRule="auto"/>
        <w:jc w:val="center"/>
        <w:rPr>
          <w:rFonts w:ascii="宋体" w:hAnsi="宋体"/>
          <w:b/>
          <w:spacing w:val="6"/>
          <w:szCs w:val="21"/>
        </w:rPr>
      </w:pPr>
      <w:r>
        <w:rPr>
          <w:rFonts w:hint="eastAsia" w:ascii="黑体" w:hAnsi="宋体" w:eastAsia="黑体"/>
          <w:b/>
          <w:sz w:val="28"/>
          <w:szCs w:val="28"/>
        </w:rPr>
        <w:t>优先采购产品清单</w:t>
      </w:r>
    </w:p>
    <w:p>
      <w:pPr>
        <w:adjustRightInd w:val="0"/>
        <w:snapToGrid w:val="0"/>
        <w:spacing w:line="360" w:lineRule="auto"/>
        <w:rPr>
          <w:rFonts w:ascii="宋体" w:hAnsi="宋体"/>
          <w:szCs w:val="21"/>
        </w:rPr>
      </w:pPr>
      <w:r>
        <w:rPr>
          <w:rFonts w:hint="eastAsia" w:ascii="宋体" w:hAnsi="宋体"/>
          <w:szCs w:val="21"/>
        </w:rPr>
        <w:t>采购代理编号：</w:t>
      </w:r>
      <w:r>
        <w:rPr>
          <w:rFonts w:hint="eastAsia" w:ascii="宋体" w:hAnsi="宋体"/>
          <w:szCs w:val="21"/>
          <w:u w:val="single"/>
        </w:rPr>
        <w:t>__    ________</w:t>
      </w:r>
      <w:r>
        <w:rPr>
          <w:rFonts w:hint="eastAsia" w:ascii="宋体" w:hAnsi="宋体"/>
          <w:szCs w:val="21"/>
        </w:rPr>
        <w:t xml:space="preserve">                     项目名称：</w:t>
      </w:r>
      <w:r>
        <w:rPr>
          <w:rFonts w:hint="eastAsia" w:ascii="宋体" w:hAnsi="宋体"/>
          <w:szCs w:val="21"/>
          <w:u w:val="single"/>
        </w:rPr>
        <w:t>____            ______</w:t>
      </w:r>
    </w:p>
    <w:p>
      <w:pPr>
        <w:adjustRightInd w:val="0"/>
        <w:snapToGrid w:val="0"/>
        <w:spacing w:line="360" w:lineRule="auto"/>
        <w:rPr>
          <w:rFonts w:ascii="宋体" w:hAnsi="宋体"/>
          <w:szCs w:val="21"/>
        </w:rPr>
      </w:pPr>
      <w:r>
        <w:rPr>
          <w:rFonts w:hint="eastAsia" w:ascii="宋体" w:hAnsi="宋体"/>
          <w:szCs w:val="21"/>
        </w:rPr>
        <w:t>包       号：</w:t>
      </w:r>
      <w:r>
        <w:rPr>
          <w:rFonts w:hint="eastAsia" w:ascii="宋体" w:hAnsi="宋体"/>
          <w:szCs w:val="21"/>
          <w:u w:val="single"/>
        </w:rPr>
        <w:t>__    ________</w:t>
      </w:r>
      <w:r>
        <w:rPr>
          <w:rFonts w:hint="eastAsia" w:ascii="宋体" w:hAnsi="宋体"/>
          <w:szCs w:val="21"/>
        </w:rPr>
        <w:t xml:space="preserve">                      包名称：</w:t>
      </w:r>
      <w:r>
        <w:rPr>
          <w:rFonts w:hint="eastAsia" w:ascii="宋体" w:hAnsi="宋体"/>
          <w:szCs w:val="21"/>
          <w:u w:val="single"/>
        </w:rPr>
        <w:t>___          _______</w:t>
      </w:r>
    </w:p>
    <w:tbl>
      <w:tblPr>
        <w:tblStyle w:val="43"/>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pPr>
              <w:widowControl/>
              <w:adjustRightInd w:val="0"/>
              <w:snapToGrid w:val="0"/>
              <w:spacing w:line="360" w:lineRule="auto"/>
              <w:ind w:firstLine="480" w:firstLineChars="200"/>
              <w:jc w:val="left"/>
              <w:rPr>
                <w:rFonts w:ascii="黑体" w:hAnsi="黑体" w:eastAsia="黑体"/>
                <w:kern w:val="0"/>
                <w:sz w:val="24"/>
              </w:rPr>
            </w:pPr>
            <w:r>
              <w:rPr>
                <w:rFonts w:hint="eastAsia" w:ascii="黑体" w:hAnsi="宋体" w:eastAsia="黑体"/>
                <w:kern w:val="0"/>
                <w:sz w:val="24"/>
              </w:rPr>
              <w:t>以下为供应商提供的政府采购优先采购产品，供应商对本表的真实性负责。如有虚假，将依法承担相应责任。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1739"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2</w:t>
            </w:r>
          </w:p>
        </w:tc>
        <w:tc>
          <w:tcPr>
            <w:tcW w:w="1134" w:type="dxa"/>
            <w:tcBorders>
              <w:right w:val="single" w:color="auto" w:sz="4" w:space="0"/>
            </w:tcBorders>
            <w:vAlign w:val="center"/>
          </w:tcPr>
          <w:p>
            <w:pPr>
              <w:adjustRightInd w:val="0"/>
              <w:snapToGrid w:val="0"/>
              <w:spacing w:line="360" w:lineRule="auto"/>
              <w:jc w:val="center"/>
              <w:rPr>
                <w:rFonts w:ascii="宋体" w:hAnsi="宋体"/>
                <w:kern w:val="0"/>
                <w:szCs w:val="21"/>
              </w:rPr>
            </w:pPr>
            <w:r>
              <w:rPr>
                <w:rFonts w:hint="eastAsia" w:ascii="宋体" w:hAnsi="宋体"/>
                <w:kern w:val="0"/>
                <w:szCs w:val="21"/>
              </w:rPr>
              <w:t>3</w:t>
            </w:r>
          </w:p>
        </w:tc>
        <w:tc>
          <w:tcPr>
            <w:tcW w:w="1418" w:type="dxa"/>
            <w:tcBorders>
              <w:left w:val="single" w:color="auto" w:sz="4" w:space="0"/>
            </w:tcBorders>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4</w:t>
            </w:r>
          </w:p>
        </w:tc>
        <w:tc>
          <w:tcPr>
            <w:tcW w:w="198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5</w:t>
            </w:r>
          </w:p>
        </w:tc>
        <w:tc>
          <w:tcPr>
            <w:tcW w:w="1843"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1739"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规格型号</w:t>
            </w:r>
          </w:p>
        </w:tc>
        <w:tc>
          <w:tcPr>
            <w:tcW w:w="1418" w:type="dxa"/>
            <w:tcBorders>
              <w:left w:val="single" w:color="auto" w:sz="4" w:space="0"/>
            </w:tcBorders>
            <w:vAlign w:val="center"/>
          </w:tcPr>
          <w:p>
            <w:pPr>
              <w:adjustRightInd w:val="0"/>
              <w:snapToGrid w:val="0"/>
              <w:spacing w:line="360" w:lineRule="auto"/>
              <w:jc w:val="center"/>
              <w:rPr>
                <w:rFonts w:ascii="宋体" w:hAnsi="宋体"/>
                <w:kern w:val="0"/>
                <w:szCs w:val="21"/>
              </w:rPr>
            </w:pPr>
            <w:r>
              <w:rPr>
                <w:rFonts w:hint="eastAsia" w:ascii="宋体" w:hAnsi="宋体"/>
                <w:kern w:val="0"/>
                <w:szCs w:val="21"/>
              </w:rPr>
              <w:t>价格（元）</w:t>
            </w:r>
          </w:p>
        </w:tc>
        <w:tc>
          <w:tcPr>
            <w:tcW w:w="1984"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货物制造商名称</w:t>
            </w:r>
          </w:p>
        </w:tc>
        <w:tc>
          <w:tcPr>
            <w:tcW w:w="1843" w:type="dxa"/>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Cs w:val="21"/>
              </w:rPr>
              <w:t>政策功能编码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pPr>
              <w:adjustRightInd w:val="0"/>
              <w:snapToGrid w:val="0"/>
              <w:spacing w:line="360" w:lineRule="auto"/>
              <w:jc w:val="left"/>
              <w:rPr>
                <w:rFonts w:ascii="宋体" w:hAnsi="宋体"/>
                <w:b/>
                <w:szCs w:val="21"/>
              </w:rPr>
            </w:pPr>
            <w:r>
              <w:rPr>
                <w:rFonts w:hint="eastAsia" w:ascii="宋体" w:hAnsi="宋体"/>
                <w:b/>
                <w:szCs w:val="21"/>
              </w:rPr>
              <w:t>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b/>
                <w:szCs w:val="21"/>
              </w:rPr>
            </w:pPr>
          </w:p>
        </w:tc>
        <w:tc>
          <w:tcPr>
            <w:tcW w:w="1739" w:type="dxa"/>
            <w:vAlign w:val="center"/>
          </w:tcPr>
          <w:p>
            <w:pPr>
              <w:adjustRightInd w:val="0"/>
              <w:snapToGrid w:val="0"/>
              <w:spacing w:line="360" w:lineRule="auto"/>
              <w:jc w:val="center"/>
              <w:rPr>
                <w:rFonts w:ascii="宋体" w:hAnsi="宋体"/>
                <w:b/>
                <w:szCs w:val="21"/>
              </w:rPr>
            </w:pPr>
          </w:p>
        </w:tc>
        <w:tc>
          <w:tcPr>
            <w:tcW w:w="1134" w:type="dxa"/>
            <w:tcBorders>
              <w:right w:val="single" w:color="auto" w:sz="4" w:space="0"/>
            </w:tcBorders>
            <w:vAlign w:val="center"/>
          </w:tcPr>
          <w:p>
            <w:pPr>
              <w:adjustRightInd w:val="0"/>
              <w:snapToGrid w:val="0"/>
              <w:spacing w:line="360" w:lineRule="auto"/>
              <w:jc w:val="left"/>
              <w:rPr>
                <w:rFonts w:ascii="宋体" w:hAnsi="宋体"/>
                <w:b/>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szCs w:val="21"/>
              </w:rPr>
            </w:pPr>
          </w:p>
        </w:tc>
        <w:tc>
          <w:tcPr>
            <w:tcW w:w="1984" w:type="dxa"/>
            <w:vAlign w:val="center"/>
          </w:tcPr>
          <w:p>
            <w:pPr>
              <w:adjustRightInd w:val="0"/>
              <w:snapToGrid w:val="0"/>
              <w:spacing w:line="360" w:lineRule="auto"/>
              <w:jc w:val="center"/>
              <w:rPr>
                <w:rFonts w:ascii="宋体" w:hAnsi="宋体"/>
                <w:b/>
                <w:szCs w:val="21"/>
              </w:rPr>
            </w:pPr>
          </w:p>
        </w:tc>
        <w:tc>
          <w:tcPr>
            <w:tcW w:w="1843" w:type="dxa"/>
          </w:tcPr>
          <w:p>
            <w:pPr>
              <w:adjustRightInd w:val="0"/>
              <w:snapToGrid w:val="0"/>
              <w:spacing w:line="360" w:lineRule="auto"/>
              <w:jc w:val="center"/>
              <w:rPr>
                <w:rFonts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szCs w:val="21"/>
              </w:rPr>
            </w:pPr>
            <w:r>
              <w:rPr>
                <w:rFonts w:hint="eastAsia" w:ascii="宋体" w:hAnsi="宋体"/>
                <w:szCs w:val="21"/>
              </w:rPr>
              <w:t>小计</w:t>
            </w:r>
          </w:p>
        </w:tc>
        <w:tc>
          <w:tcPr>
            <w:tcW w:w="1739" w:type="dxa"/>
            <w:vAlign w:val="center"/>
          </w:tcPr>
          <w:p>
            <w:pPr>
              <w:adjustRightInd w:val="0"/>
              <w:snapToGrid w:val="0"/>
              <w:spacing w:line="360" w:lineRule="auto"/>
              <w:jc w:val="center"/>
              <w:rPr>
                <w:rFonts w:ascii="宋体" w:hAnsi="宋体"/>
                <w:b/>
                <w:szCs w:val="21"/>
              </w:rPr>
            </w:pPr>
            <w:r>
              <w:rPr>
                <w:rFonts w:hint="eastAsia" w:ascii="宋体" w:hAnsi="宋体"/>
                <w:b/>
                <w:szCs w:val="21"/>
              </w:rPr>
              <w:t>/</w:t>
            </w:r>
          </w:p>
        </w:tc>
        <w:tc>
          <w:tcPr>
            <w:tcW w:w="1134" w:type="dxa"/>
            <w:tcBorders>
              <w:right w:val="single" w:color="auto" w:sz="4" w:space="0"/>
            </w:tcBorders>
            <w:vAlign w:val="center"/>
          </w:tcPr>
          <w:p>
            <w:pPr>
              <w:adjustRightInd w:val="0"/>
              <w:snapToGrid w:val="0"/>
              <w:spacing w:line="360" w:lineRule="auto"/>
              <w:jc w:val="left"/>
              <w:rPr>
                <w:rFonts w:ascii="宋体" w:hAnsi="宋体"/>
                <w:b/>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szCs w:val="21"/>
              </w:rPr>
            </w:pPr>
          </w:p>
        </w:tc>
        <w:tc>
          <w:tcPr>
            <w:tcW w:w="1984" w:type="dxa"/>
            <w:vAlign w:val="center"/>
          </w:tcPr>
          <w:p>
            <w:pPr>
              <w:adjustRightInd w:val="0"/>
              <w:snapToGrid w:val="0"/>
              <w:spacing w:line="360" w:lineRule="auto"/>
              <w:jc w:val="center"/>
              <w:rPr>
                <w:rFonts w:ascii="宋体" w:hAnsi="宋体"/>
                <w:b/>
                <w:szCs w:val="21"/>
              </w:rPr>
            </w:pPr>
            <w:r>
              <w:rPr>
                <w:rFonts w:hint="eastAsia" w:ascii="宋体" w:hAnsi="宋体"/>
                <w:b/>
                <w:szCs w:val="21"/>
              </w:rPr>
              <w:t>/</w:t>
            </w:r>
          </w:p>
        </w:tc>
        <w:tc>
          <w:tcPr>
            <w:tcW w:w="1843" w:type="dxa"/>
          </w:tcPr>
          <w:p>
            <w:pPr>
              <w:adjustRightInd w:val="0"/>
              <w:snapToGrid w:val="0"/>
              <w:spacing w:line="360" w:lineRule="auto"/>
              <w:jc w:val="center"/>
              <w:rPr>
                <w:rFonts w:ascii="宋体" w:hAnsi="宋体"/>
                <w:b/>
                <w:szCs w:val="21"/>
              </w:rPr>
            </w:pPr>
            <w:r>
              <w:rPr>
                <w:rFonts w:hint="eastAsia" w:ascii="宋体" w:hAnsi="宋体"/>
                <w:b/>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pPr>
              <w:adjustRightInd w:val="0"/>
              <w:snapToGrid w:val="0"/>
              <w:spacing w:line="360" w:lineRule="auto"/>
              <w:jc w:val="left"/>
              <w:rPr>
                <w:rFonts w:ascii="宋体" w:hAnsi="宋体"/>
                <w:b/>
                <w:szCs w:val="21"/>
              </w:rPr>
            </w:pPr>
            <w:r>
              <w:rPr>
                <w:rFonts w:hint="eastAsia" w:ascii="宋体" w:hAnsi="宋体"/>
                <w:b/>
                <w:szCs w:val="21"/>
              </w:rPr>
              <w:t>环境标志产品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b/>
                <w:szCs w:val="21"/>
              </w:rPr>
            </w:pPr>
          </w:p>
        </w:tc>
        <w:tc>
          <w:tcPr>
            <w:tcW w:w="1739" w:type="dxa"/>
            <w:vAlign w:val="center"/>
          </w:tcPr>
          <w:p>
            <w:pPr>
              <w:adjustRightInd w:val="0"/>
              <w:snapToGrid w:val="0"/>
              <w:spacing w:line="360" w:lineRule="auto"/>
              <w:jc w:val="center"/>
              <w:rPr>
                <w:rFonts w:ascii="宋体" w:hAnsi="宋体"/>
                <w:b/>
                <w:szCs w:val="21"/>
              </w:rPr>
            </w:pPr>
          </w:p>
        </w:tc>
        <w:tc>
          <w:tcPr>
            <w:tcW w:w="1134" w:type="dxa"/>
            <w:tcBorders>
              <w:right w:val="single" w:color="auto" w:sz="4" w:space="0"/>
            </w:tcBorders>
            <w:vAlign w:val="center"/>
          </w:tcPr>
          <w:p>
            <w:pPr>
              <w:adjustRightInd w:val="0"/>
              <w:snapToGrid w:val="0"/>
              <w:spacing w:line="360" w:lineRule="auto"/>
              <w:jc w:val="left"/>
              <w:rPr>
                <w:rFonts w:ascii="宋体" w:hAnsi="宋体"/>
                <w:b/>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szCs w:val="21"/>
              </w:rPr>
            </w:pPr>
          </w:p>
        </w:tc>
        <w:tc>
          <w:tcPr>
            <w:tcW w:w="1984" w:type="dxa"/>
            <w:vAlign w:val="center"/>
          </w:tcPr>
          <w:p>
            <w:pPr>
              <w:adjustRightInd w:val="0"/>
              <w:snapToGrid w:val="0"/>
              <w:spacing w:line="360" w:lineRule="auto"/>
              <w:jc w:val="center"/>
              <w:rPr>
                <w:rFonts w:ascii="宋体" w:hAnsi="宋体"/>
                <w:b/>
                <w:szCs w:val="21"/>
              </w:rPr>
            </w:pPr>
          </w:p>
        </w:tc>
        <w:tc>
          <w:tcPr>
            <w:tcW w:w="1843" w:type="dxa"/>
          </w:tcPr>
          <w:p>
            <w:pPr>
              <w:adjustRightInd w:val="0"/>
              <w:snapToGrid w:val="0"/>
              <w:spacing w:line="360" w:lineRule="auto"/>
              <w:jc w:val="center"/>
              <w:rPr>
                <w:rFonts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szCs w:val="21"/>
              </w:rPr>
            </w:pPr>
            <w:r>
              <w:rPr>
                <w:rFonts w:hint="eastAsia" w:ascii="宋体" w:hAnsi="宋体"/>
                <w:szCs w:val="21"/>
              </w:rPr>
              <w:t>小计</w:t>
            </w:r>
          </w:p>
        </w:tc>
        <w:tc>
          <w:tcPr>
            <w:tcW w:w="1739" w:type="dxa"/>
            <w:vAlign w:val="center"/>
          </w:tcPr>
          <w:p>
            <w:pPr>
              <w:adjustRightInd w:val="0"/>
              <w:snapToGrid w:val="0"/>
              <w:spacing w:line="360" w:lineRule="auto"/>
              <w:jc w:val="center"/>
              <w:rPr>
                <w:rFonts w:ascii="宋体" w:hAnsi="宋体"/>
                <w:b/>
                <w:szCs w:val="21"/>
              </w:rPr>
            </w:pPr>
            <w:r>
              <w:rPr>
                <w:rFonts w:hint="eastAsia" w:ascii="宋体" w:hAnsi="宋体"/>
                <w:b/>
                <w:szCs w:val="21"/>
              </w:rPr>
              <w:t>/</w:t>
            </w:r>
          </w:p>
        </w:tc>
        <w:tc>
          <w:tcPr>
            <w:tcW w:w="1134" w:type="dxa"/>
            <w:tcBorders>
              <w:right w:val="single" w:color="auto" w:sz="4" w:space="0"/>
            </w:tcBorders>
            <w:vAlign w:val="center"/>
          </w:tcPr>
          <w:p>
            <w:pPr>
              <w:adjustRightInd w:val="0"/>
              <w:snapToGrid w:val="0"/>
              <w:spacing w:line="360" w:lineRule="auto"/>
              <w:jc w:val="left"/>
              <w:rPr>
                <w:rFonts w:ascii="宋体" w:hAnsi="宋体"/>
                <w:b/>
                <w:szCs w:val="21"/>
              </w:rPr>
            </w:pPr>
          </w:p>
        </w:tc>
        <w:tc>
          <w:tcPr>
            <w:tcW w:w="1418" w:type="dxa"/>
            <w:tcBorders>
              <w:left w:val="single" w:color="auto" w:sz="4" w:space="0"/>
            </w:tcBorders>
            <w:vAlign w:val="center"/>
          </w:tcPr>
          <w:p>
            <w:pPr>
              <w:adjustRightInd w:val="0"/>
              <w:snapToGrid w:val="0"/>
              <w:spacing w:line="360" w:lineRule="auto"/>
              <w:jc w:val="left"/>
              <w:rPr>
                <w:rFonts w:ascii="宋体" w:hAnsi="宋体"/>
                <w:b/>
                <w:szCs w:val="21"/>
              </w:rPr>
            </w:pPr>
          </w:p>
        </w:tc>
        <w:tc>
          <w:tcPr>
            <w:tcW w:w="1984" w:type="dxa"/>
            <w:vAlign w:val="center"/>
          </w:tcPr>
          <w:p>
            <w:pPr>
              <w:adjustRightInd w:val="0"/>
              <w:snapToGrid w:val="0"/>
              <w:spacing w:line="360" w:lineRule="auto"/>
              <w:jc w:val="center"/>
              <w:rPr>
                <w:rFonts w:ascii="宋体" w:hAnsi="宋体"/>
                <w:b/>
                <w:szCs w:val="21"/>
              </w:rPr>
            </w:pPr>
            <w:r>
              <w:rPr>
                <w:rFonts w:hint="eastAsia" w:ascii="宋体" w:hAnsi="宋体"/>
                <w:b/>
                <w:szCs w:val="21"/>
              </w:rPr>
              <w:t>/</w:t>
            </w:r>
          </w:p>
        </w:tc>
        <w:tc>
          <w:tcPr>
            <w:tcW w:w="1843" w:type="dxa"/>
          </w:tcPr>
          <w:p>
            <w:pPr>
              <w:adjustRightInd w:val="0"/>
              <w:snapToGrid w:val="0"/>
              <w:spacing w:line="360" w:lineRule="auto"/>
              <w:jc w:val="center"/>
              <w:rPr>
                <w:rFonts w:ascii="宋体" w:hAnsi="宋体"/>
                <w:b/>
                <w:szCs w:val="21"/>
              </w:rPr>
            </w:pPr>
            <w:r>
              <w:rPr>
                <w:rFonts w:hint="eastAsia" w:ascii="宋体" w:hAnsi="宋体"/>
                <w:b/>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pPr>
              <w:adjustRightInd w:val="0"/>
              <w:snapToGrid w:val="0"/>
              <w:spacing w:line="360" w:lineRule="auto"/>
              <w:jc w:val="left"/>
              <w:rPr>
                <w:rFonts w:ascii="宋体" w:hAnsi="宋体"/>
                <w:b/>
                <w:szCs w:val="21"/>
              </w:rPr>
            </w:pPr>
            <w:r>
              <w:rPr>
                <w:rFonts w:hint="eastAsia" w:ascii="宋体" w:hAnsi="宋体"/>
                <w:b/>
                <w:szCs w:val="21"/>
              </w:rPr>
              <w:t>两型产品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szCs w:val="21"/>
              </w:rPr>
            </w:pPr>
          </w:p>
        </w:tc>
        <w:tc>
          <w:tcPr>
            <w:tcW w:w="1739" w:type="dxa"/>
            <w:vAlign w:val="center"/>
          </w:tcPr>
          <w:p>
            <w:pPr>
              <w:adjustRightInd w:val="0"/>
              <w:snapToGrid w:val="0"/>
              <w:spacing w:line="360" w:lineRule="auto"/>
              <w:jc w:val="center"/>
              <w:rPr>
                <w:rFonts w:ascii="宋体" w:hAnsi="宋体"/>
                <w:szCs w:val="21"/>
              </w:rPr>
            </w:pP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418"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984" w:type="dxa"/>
            <w:vAlign w:val="center"/>
          </w:tcPr>
          <w:p>
            <w:pPr>
              <w:adjustRightInd w:val="0"/>
              <w:snapToGrid w:val="0"/>
              <w:spacing w:line="360" w:lineRule="auto"/>
              <w:jc w:val="center"/>
              <w:rPr>
                <w:rFonts w:ascii="宋体" w:hAnsi="宋体"/>
                <w:szCs w:val="21"/>
              </w:rPr>
            </w:pPr>
          </w:p>
        </w:tc>
        <w:tc>
          <w:tcPr>
            <w:tcW w:w="1843" w:type="dxa"/>
          </w:tcPr>
          <w:p>
            <w:pPr>
              <w:adjustRightInd w:val="0"/>
              <w:snapToGrid w:val="0"/>
              <w:spacing w:line="360" w:lineRule="auto"/>
              <w:jc w:val="center"/>
              <w:rPr>
                <w:rFonts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pPr>
              <w:adjustRightInd w:val="0"/>
              <w:snapToGrid w:val="0"/>
              <w:spacing w:line="360" w:lineRule="auto"/>
              <w:jc w:val="center"/>
              <w:rPr>
                <w:rFonts w:ascii="宋体" w:hAnsi="宋体"/>
                <w:szCs w:val="21"/>
              </w:rPr>
            </w:pPr>
            <w:r>
              <w:rPr>
                <w:rFonts w:hint="eastAsia" w:ascii="宋体" w:hAnsi="宋体"/>
                <w:szCs w:val="21"/>
              </w:rPr>
              <w:t>小计</w:t>
            </w:r>
          </w:p>
        </w:tc>
        <w:tc>
          <w:tcPr>
            <w:tcW w:w="1739" w:type="dxa"/>
            <w:vAlign w:val="center"/>
          </w:tcPr>
          <w:p>
            <w:pPr>
              <w:adjustRightInd w:val="0"/>
              <w:snapToGrid w:val="0"/>
              <w:spacing w:line="360" w:lineRule="auto"/>
              <w:jc w:val="center"/>
              <w:rPr>
                <w:rFonts w:ascii="宋体" w:hAnsi="宋体"/>
                <w:szCs w:val="21"/>
              </w:rPr>
            </w:pPr>
            <w:r>
              <w:rPr>
                <w:rFonts w:hint="eastAsia" w:ascii="宋体" w:hAnsi="宋体"/>
                <w:szCs w:val="21"/>
              </w:rPr>
              <w:t>/</w:t>
            </w:r>
          </w:p>
        </w:tc>
        <w:tc>
          <w:tcPr>
            <w:tcW w:w="1134" w:type="dxa"/>
            <w:tcBorders>
              <w:right w:val="single" w:color="auto" w:sz="4" w:space="0"/>
            </w:tcBorders>
            <w:vAlign w:val="center"/>
          </w:tcPr>
          <w:p>
            <w:pPr>
              <w:adjustRightInd w:val="0"/>
              <w:snapToGrid w:val="0"/>
              <w:spacing w:line="360" w:lineRule="auto"/>
              <w:jc w:val="center"/>
              <w:rPr>
                <w:rFonts w:ascii="宋体" w:hAnsi="宋体"/>
                <w:szCs w:val="21"/>
              </w:rPr>
            </w:pPr>
          </w:p>
        </w:tc>
        <w:tc>
          <w:tcPr>
            <w:tcW w:w="1418" w:type="dxa"/>
            <w:tcBorders>
              <w:left w:val="single" w:color="auto" w:sz="4" w:space="0"/>
            </w:tcBorders>
            <w:vAlign w:val="center"/>
          </w:tcPr>
          <w:p>
            <w:pPr>
              <w:adjustRightInd w:val="0"/>
              <w:snapToGrid w:val="0"/>
              <w:spacing w:line="360" w:lineRule="auto"/>
              <w:jc w:val="center"/>
              <w:rPr>
                <w:rFonts w:ascii="宋体" w:hAnsi="宋体"/>
                <w:szCs w:val="21"/>
              </w:rPr>
            </w:pPr>
          </w:p>
        </w:tc>
        <w:tc>
          <w:tcPr>
            <w:tcW w:w="1984" w:type="dxa"/>
            <w:vAlign w:val="center"/>
          </w:tcPr>
          <w:p>
            <w:pPr>
              <w:adjustRightInd w:val="0"/>
              <w:snapToGrid w:val="0"/>
              <w:spacing w:line="360" w:lineRule="auto"/>
              <w:jc w:val="center"/>
              <w:rPr>
                <w:rFonts w:ascii="宋体" w:hAnsi="宋体"/>
                <w:szCs w:val="21"/>
              </w:rPr>
            </w:pPr>
            <w:r>
              <w:rPr>
                <w:rFonts w:hint="eastAsia" w:ascii="宋体" w:hAnsi="宋体"/>
                <w:szCs w:val="21"/>
              </w:rPr>
              <w:t>/</w:t>
            </w:r>
          </w:p>
        </w:tc>
        <w:tc>
          <w:tcPr>
            <w:tcW w:w="1843" w:type="dxa"/>
          </w:tcPr>
          <w:p>
            <w:pPr>
              <w:adjustRightInd w:val="0"/>
              <w:snapToGrid w:val="0"/>
              <w:spacing w:line="360" w:lineRule="auto"/>
              <w:jc w:val="center"/>
              <w:rPr>
                <w:rFonts w:ascii="宋体" w:hAnsi="宋体"/>
                <w:szCs w:val="21"/>
              </w:rPr>
            </w:pPr>
            <w:r>
              <w:rPr>
                <w:rFonts w:hint="eastAsia" w:ascii="宋体" w:hAnsi="宋体"/>
                <w:szCs w:val="21"/>
              </w:rPr>
              <w:t>/</w:t>
            </w:r>
          </w:p>
        </w:tc>
      </w:tr>
    </w:tbl>
    <w:p>
      <w:pPr>
        <w:adjustRightInd w:val="0"/>
        <w:snapToGrid w:val="0"/>
        <w:spacing w:line="360" w:lineRule="auto"/>
        <w:jc w:val="left"/>
        <w:rPr>
          <w:rFonts w:ascii="宋体" w:hAnsi="宋体"/>
          <w:szCs w:val="21"/>
        </w:rPr>
      </w:pPr>
      <w:r>
        <w:rPr>
          <w:rFonts w:hint="eastAsia" w:ascii="宋体" w:hAnsi="宋体"/>
          <w:szCs w:val="21"/>
        </w:rPr>
        <w:t>说明：</w:t>
      </w:r>
      <w:r>
        <w:rPr>
          <w:rFonts w:hint="eastAsia" w:ascii="宋体" w:hAnsi="宋体"/>
          <w:bCs/>
          <w:szCs w:val="21"/>
        </w:rPr>
        <w:t>1、</w:t>
      </w:r>
      <w:r>
        <w:rPr>
          <w:rFonts w:hint="eastAsia" w:ascii="宋体" w:hAnsi="宋体"/>
          <w:szCs w:val="21"/>
        </w:rPr>
        <w:t>本表用于计算政府采购优先采购产品（节能产品或环境标志产品或两型产品）的政府采购政策价格扣除。</w:t>
      </w:r>
    </w:p>
    <w:p>
      <w:pPr>
        <w:adjustRightInd w:val="0"/>
        <w:snapToGrid w:val="0"/>
        <w:spacing w:line="360" w:lineRule="auto"/>
        <w:ind w:firstLine="630" w:firstLineChars="300"/>
        <w:jc w:val="left"/>
        <w:rPr>
          <w:rFonts w:ascii="宋体" w:hAnsi="宋体"/>
          <w:szCs w:val="21"/>
        </w:rPr>
      </w:pPr>
      <w:r>
        <w:rPr>
          <w:rFonts w:hint="eastAsia" w:ascii="宋体" w:hAnsi="宋体"/>
          <w:szCs w:val="21"/>
        </w:rPr>
        <w:t>2、栏目4“价格”为综合单价，包含货物所有隐含的内容，如运输费、保险费、管理费和利润等。</w:t>
      </w:r>
    </w:p>
    <w:p>
      <w:pPr>
        <w:adjustRightInd w:val="0"/>
        <w:snapToGrid w:val="0"/>
        <w:spacing w:line="360" w:lineRule="auto"/>
        <w:ind w:firstLine="630" w:firstLineChars="300"/>
        <w:jc w:val="left"/>
        <w:rPr>
          <w:rFonts w:ascii="宋体" w:hAnsi="宋体"/>
          <w:szCs w:val="21"/>
        </w:rPr>
      </w:pPr>
      <w:r>
        <w:rPr>
          <w:rFonts w:hint="eastAsia" w:ascii="宋体" w:hAnsi="宋体"/>
          <w:szCs w:val="21"/>
        </w:rPr>
        <w:t>3、栏目6“政策功能编码”是指货物的中国环境标志认证证书编号、中国节能标志认证证书号、两型产品编号（货物同时属于节能产品、环境标志产品、两型产品的，只须填写一种）。</w:t>
      </w: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r>
        <w:rPr>
          <w:rFonts w:hint="eastAsia"/>
        </w:rPr>
        <w:t>日期：        年    月   日</w:t>
      </w:r>
    </w:p>
    <w:p/>
    <w:p>
      <w:pPr>
        <w:pStyle w:val="6"/>
        <w:adjustRightInd w:val="0"/>
        <w:snapToGrid w:val="0"/>
        <w:spacing w:beforeLines="50"/>
        <w:jc w:val="center"/>
        <w:rPr>
          <w:rFonts w:ascii="黑体" w:hAnsi="黑体" w:eastAsia="黑体"/>
          <w:sz w:val="28"/>
          <w:szCs w:val="28"/>
        </w:rPr>
      </w:pPr>
      <w:bookmarkStart w:id="85" w:name="_Toc13016"/>
      <w:r>
        <w:rPr>
          <w:rFonts w:hint="eastAsia" w:ascii="黑体" w:hAnsi="黑体" w:eastAsia="黑体"/>
          <w:sz w:val="28"/>
          <w:szCs w:val="28"/>
        </w:rPr>
        <w:t>十、关于资格的说明(格式)</w:t>
      </w:r>
      <w:bookmarkEnd w:id="85"/>
    </w:p>
    <w:p>
      <w:pPr>
        <w:pStyle w:val="8"/>
        <w:adjustRightInd w:val="0"/>
        <w:snapToGrid w:val="0"/>
        <w:spacing w:beforeLines="50" w:after="0" w:line="360" w:lineRule="auto"/>
        <w:rPr>
          <w:rFonts w:ascii="宋体" w:hAnsi="宋体" w:eastAsia="宋体"/>
          <w:sz w:val="21"/>
          <w:szCs w:val="21"/>
        </w:rPr>
      </w:pPr>
      <w:r>
        <w:rPr>
          <w:rFonts w:hint="eastAsia" w:ascii="宋体" w:hAnsi="宋体" w:eastAsia="宋体"/>
          <w:sz w:val="21"/>
          <w:szCs w:val="21"/>
        </w:rPr>
        <w:t>附件 供应商的资格条件更新材料(如有提供)</w:t>
      </w:r>
    </w:p>
    <w:p>
      <w:pPr>
        <w:adjustRightInd w:val="0"/>
        <w:snapToGrid w:val="0"/>
        <w:spacing w:beforeLines="50" w:line="360" w:lineRule="auto"/>
        <w:jc w:val="center"/>
        <w:rPr>
          <w:rFonts w:ascii="仿宋_GB2312" w:hAnsi="宋体" w:eastAsia="仿宋_GB2312"/>
          <w:b/>
          <w:sz w:val="28"/>
          <w:szCs w:val="28"/>
        </w:rPr>
      </w:pPr>
      <w:r>
        <w:rPr>
          <w:rFonts w:hint="eastAsia" w:ascii="黑体" w:hAnsi="宋体" w:eastAsia="黑体"/>
          <w:b/>
          <w:sz w:val="28"/>
          <w:szCs w:val="28"/>
        </w:rPr>
        <w:t>供应商的资格条件更新材料</w:t>
      </w:r>
    </w:p>
    <w:p>
      <w:pPr>
        <w:adjustRightInd w:val="0"/>
        <w:snapToGrid w:val="0"/>
        <w:spacing w:beforeLines="50" w:line="360" w:lineRule="auto"/>
        <w:rPr>
          <w:rFonts w:ascii="宋体" w:hAnsi="宋体"/>
          <w:szCs w:val="21"/>
        </w:rPr>
      </w:pPr>
      <w:r>
        <w:rPr>
          <w:rFonts w:hint="eastAsia" w:ascii="宋体" w:hAnsi="宋体"/>
          <w:szCs w:val="21"/>
        </w:rPr>
        <w:t>说明</w:t>
      </w:r>
      <w:r>
        <w:rPr>
          <w:rFonts w:hint="eastAsia" w:ascii="宋体" w:hAnsi="宋体"/>
        </w:rPr>
        <w:t>：</w:t>
      </w:r>
      <w:r>
        <w:rPr>
          <w:rFonts w:hint="eastAsia" w:ascii="宋体" w:hAnsi="宋体" w:cs="宋体"/>
          <w:kern w:val="0"/>
          <w:szCs w:val="21"/>
          <w:lang w:val="zh-CN"/>
        </w:rPr>
        <w:t>根据谈判文件第二章第二节第18.1款规定，被邀请的</w:t>
      </w:r>
      <w:r>
        <w:rPr>
          <w:rFonts w:hint="eastAsia" w:ascii="宋体" w:hAnsi="宋体"/>
          <w:szCs w:val="21"/>
        </w:rPr>
        <w:t>供应商在提交资格证明材料</w:t>
      </w:r>
      <w:r>
        <w:rPr>
          <w:rFonts w:hint="eastAsia" w:ascii="宋体" w:hAnsi="宋体"/>
          <w:bCs/>
          <w:szCs w:val="21"/>
        </w:rPr>
        <w:t>起</w:t>
      </w:r>
      <w:r>
        <w:rPr>
          <w:rFonts w:hint="eastAsia" w:ascii="宋体" w:hAnsi="宋体"/>
          <w:szCs w:val="21"/>
        </w:rPr>
        <w:t>至</w:t>
      </w:r>
      <w:r>
        <w:rPr>
          <w:rFonts w:hint="eastAsia" w:ascii="宋体" w:hAnsi="宋体" w:cs="宋体"/>
          <w:kern w:val="0"/>
          <w:szCs w:val="21"/>
        </w:rPr>
        <w:t>提交首次响应文件</w:t>
      </w:r>
      <w:r>
        <w:rPr>
          <w:rFonts w:hint="eastAsia" w:ascii="宋体" w:hAnsi="宋体"/>
          <w:szCs w:val="21"/>
        </w:rPr>
        <w:t>止，其资格条件发生变化，影响或者可能影响资格条件的，应随本响应文件提供更新或者补充的资格证明材料。</w:t>
      </w:r>
    </w:p>
    <w:p/>
    <w:p>
      <w:pPr>
        <w:spacing w:line="480" w:lineRule="exact"/>
        <w:rPr>
          <w:rFonts w:ascii="黑体" w:eastAsia="黑体"/>
          <w:sz w:val="24"/>
        </w:rPr>
      </w:pPr>
    </w:p>
    <w:p>
      <w:pPr>
        <w:adjustRightInd w:val="0"/>
        <w:snapToGrid w:val="0"/>
        <w:spacing w:line="360" w:lineRule="auto"/>
        <w:jc w:val="center"/>
        <w:rPr>
          <w:rFonts w:ascii="黑体" w:eastAsia="黑体"/>
          <w:b/>
          <w:bCs/>
          <w:sz w:val="32"/>
          <w:szCs w:val="32"/>
        </w:rPr>
      </w:pPr>
    </w:p>
    <w:p>
      <w:pPr>
        <w:pStyle w:val="6"/>
        <w:jc w:val="center"/>
        <w:rPr>
          <w:rFonts w:ascii="黑体" w:hAnsi="黑体" w:eastAsia="黑体"/>
          <w:sz w:val="28"/>
          <w:szCs w:val="28"/>
        </w:rPr>
      </w:pPr>
      <w:r>
        <w:br w:type="page"/>
      </w:r>
      <w:bookmarkStart w:id="86" w:name="_Toc23479"/>
      <w:r>
        <w:rPr>
          <w:rFonts w:hint="eastAsia" w:ascii="黑体" w:hAnsi="黑体" w:eastAsia="黑体"/>
          <w:sz w:val="28"/>
          <w:szCs w:val="28"/>
        </w:rPr>
        <w:t>十一、响应标的符合谈判文件规定的证明文件</w:t>
      </w:r>
      <w:bookmarkEnd w:id="86"/>
    </w:p>
    <w:p>
      <w:pPr>
        <w:adjustRightInd w:val="0"/>
        <w:snapToGrid w:val="0"/>
        <w:spacing w:line="360" w:lineRule="auto"/>
        <w:rPr>
          <w:rFonts w:ascii="宋体" w:hAnsi="宋体"/>
          <w:szCs w:val="21"/>
        </w:rPr>
      </w:pPr>
    </w:p>
    <w:p>
      <w:pPr>
        <w:adjustRightInd w:val="0"/>
        <w:snapToGrid w:val="0"/>
        <w:spacing w:line="360" w:lineRule="auto"/>
        <w:rPr>
          <w:rFonts w:ascii="宋体" w:hAnsi="宋体"/>
        </w:rPr>
      </w:pPr>
      <w:r>
        <w:rPr>
          <w:rFonts w:hint="eastAsia" w:ascii="宋体" w:hAnsi="宋体"/>
          <w:szCs w:val="21"/>
        </w:rPr>
        <w:t>备注：提供第三章规定的证明材料复印件。</w:t>
      </w:r>
    </w:p>
    <w:p>
      <w:pPr>
        <w:pStyle w:val="6"/>
        <w:jc w:val="center"/>
      </w:pPr>
      <w:r>
        <w:rPr>
          <w:rFonts w:ascii="黑体" w:eastAsia="黑体"/>
          <w:szCs w:val="28"/>
        </w:rPr>
        <w:br w:type="page"/>
      </w:r>
      <w:bookmarkStart w:id="87" w:name="_Toc18629"/>
      <w:r>
        <w:rPr>
          <w:rFonts w:hint="eastAsia"/>
        </w:rPr>
        <w:t>十二、供应商认为需提供的其他资料</w:t>
      </w:r>
      <w:bookmarkEnd w:id="87"/>
    </w:p>
    <w:p>
      <w:pPr>
        <w:pStyle w:val="6"/>
      </w:pPr>
    </w:p>
    <w:p>
      <w:pPr>
        <w:pStyle w:val="2"/>
      </w:pPr>
    </w:p>
    <w:p>
      <w:pPr>
        <w:adjustRightInd w:val="0"/>
        <w:snapToGrid w:val="0"/>
        <w:spacing w:line="360" w:lineRule="auto"/>
        <w:rPr>
          <w:rFonts w:ascii="宋体" w:hAnsi="宋体" w:cs="仿宋_GB2312"/>
          <w:szCs w:val="21"/>
        </w:rPr>
      </w:pPr>
      <w:r>
        <w:rPr>
          <w:rFonts w:hint="eastAsia" w:ascii="宋体" w:hAnsi="宋体" w:cs="仿宋_GB2312"/>
          <w:szCs w:val="21"/>
        </w:rPr>
        <w:t>备注：供应商认为需提供的其他资料包括：</w:t>
      </w:r>
    </w:p>
    <w:p>
      <w:pPr>
        <w:adjustRightInd w:val="0"/>
        <w:snapToGrid w:val="0"/>
        <w:spacing w:line="360" w:lineRule="auto"/>
        <w:rPr>
          <w:rFonts w:ascii="宋体" w:hAnsi="宋体" w:cs="仿宋_GB2312"/>
          <w:szCs w:val="21"/>
        </w:rPr>
      </w:pPr>
      <w:r>
        <w:rPr>
          <w:rFonts w:hint="eastAsia" w:ascii="宋体" w:hAnsi="宋体" w:cs="仿宋_GB2312"/>
          <w:szCs w:val="21"/>
        </w:rPr>
        <w:t>（1）谈判文件第三章采购需求要求的其他资料；</w:t>
      </w:r>
    </w:p>
    <w:p>
      <w:pPr>
        <w:adjustRightInd w:val="0"/>
        <w:snapToGrid w:val="0"/>
        <w:spacing w:line="360" w:lineRule="auto"/>
        <w:rPr>
          <w:rFonts w:ascii="宋体" w:hAnsi="宋体" w:cs="仿宋_GB2312"/>
          <w:szCs w:val="21"/>
        </w:rPr>
      </w:pPr>
      <w:r>
        <w:rPr>
          <w:rFonts w:hint="eastAsia" w:ascii="宋体" w:hAnsi="宋体" w:cs="仿宋_GB2312"/>
          <w:szCs w:val="21"/>
        </w:rPr>
        <w:t>（2）谈判文件要求的其他相关资料。</w:t>
      </w:r>
    </w:p>
    <w:p>
      <w:pPr>
        <w:adjustRightInd w:val="0"/>
        <w:snapToGrid w:val="0"/>
        <w:spacing w:line="360" w:lineRule="auto"/>
        <w:rPr>
          <w:rFonts w:ascii="宋体" w:hAnsi="宋体" w:cs="仿宋_GB2312"/>
          <w:szCs w:val="21"/>
        </w:rPr>
      </w:pPr>
    </w:p>
    <w:p/>
    <w:p>
      <w:pPr>
        <w:pStyle w:val="6"/>
        <w:jc w:val="center"/>
      </w:pPr>
      <w:r>
        <w:br w:type="page"/>
      </w:r>
      <w:bookmarkStart w:id="88" w:name="_Toc20037"/>
      <w:r>
        <w:rPr>
          <w:rFonts w:hint="eastAsia" w:ascii="黑体" w:hAnsi="黑体" w:eastAsia="黑体"/>
          <w:sz w:val="28"/>
          <w:szCs w:val="28"/>
        </w:rPr>
        <w:t>十三、代理服务费承诺书</w:t>
      </w:r>
      <w:bookmarkEnd w:id="88"/>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szCs w:val="21"/>
          <w:u w:val="single"/>
        </w:rPr>
      </w:pPr>
      <w:r>
        <w:rPr>
          <w:rFonts w:hint="eastAsia" w:ascii="宋体" w:hAnsi="宋体" w:cs="仿宋_GB2312"/>
          <w:szCs w:val="21"/>
        </w:rPr>
        <w:t>致（采购代理机构） ：</w:t>
      </w:r>
    </w:p>
    <w:p>
      <w:pPr>
        <w:adjustRightInd w:val="0"/>
        <w:snapToGrid w:val="0"/>
        <w:spacing w:line="360" w:lineRule="auto"/>
        <w:ind w:firstLine="420" w:firstLineChars="200"/>
        <w:rPr>
          <w:rFonts w:ascii="宋体" w:hAnsi="宋体"/>
          <w:szCs w:val="21"/>
        </w:rPr>
      </w:pPr>
      <w:r>
        <w:rPr>
          <w:rFonts w:hint="eastAsia" w:ascii="宋体" w:hAnsi="宋体" w:cs="仿宋_GB2312"/>
          <w:szCs w:val="21"/>
        </w:rPr>
        <w:t>我们在贵公司组织的</w:t>
      </w:r>
      <w:r>
        <w:rPr>
          <w:rFonts w:hint="eastAsia" w:ascii="宋体" w:hAnsi="宋体"/>
          <w:szCs w:val="21"/>
        </w:rPr>
        <w:t>（项目名称： ，</w:t>
      </w:r>
      <w:r>
        <w:rPr>
          <w:rFonts w:hint="eastAsia" w:ascii="宋体" w:hAnsi="宋体" w:cs="仿宋_GB2312"/>
          <w:szCs w:val="21"/>
        </w:rPr>
        <w:t>采购代理编号：</w:t>
      </w:r>
      <w:r>
        <w:rPr>
          <w:rFonts w:hint="eastAsia" w:ascii="宋体" w:hAnsi="宋体"/>
          <w:szCs w:val="21"/>
        </w:rPr>
        <w:t>）</w:t>
      </w:r>
      <w:r>
        <w:rPr>
          <w:rFonts w:hint="eastAsia" w:ascii="宋体" w:hAnsi="宋体" w:cs="仿宋_GB2312"/>
          <w:szCs w:val="21"/>
        </w:rPr>
        <w:t>政府采购活动中若获成交，我们保证在收到成交通知书后5 个工作日内，按谈判文件的规定，以支票、汇票或现金，向贵公司一次性支付代理服务费用。否则，</w:t>
      </w:r>
      <w:r>
        <w:rPr>
          <w:rFonts w:hint="eastAsia" w:ascii="宋体" w:hAnsi="宋体"/>
          <w:szCs w:val="21"/>
        </w:rPr>
        <w:t>由此产生的一切法律后果和责任由我公司承担。我公司声明放弃对此提出任何异议和追索的权利。</w:t>
      </w:r>
    </w:p>
    <w:p>
      <w:pPr>
        <w:adjustRightInd w:val="0"/>
        <w:snapToGrid w:val="0"/>
        <w:spacing w:line="360" w:lineRule="auto"/>
        <w:ind w:firstLine="420" w:firstLineChars="200"/>
        <w:rPr>
          <w:rFonts w:ascii="宋体" w:hAnsi="宋体"/>
          <w:szCs w:val="21"/>
        </w:rPr>
      </w:pPr>
      <w:r>
        <w:rPr>
          <w:rFonts w:hint="eastAsia" w:ascii="宋体" w:hAnsi="宋体"/>
          <w:szCs w:val="21"/>
        </w:rPr>
        <w:t>特此承诺。</w:t>
      </w:r>
    </w:p>
    <w:p>
      <w:pPr>
        <w:adjustRightInd w:val="0"/>
        <w:snapToGrid w:val="0"/>
        <w:spacing w:line="360" w:lineRule="auto"/>
        <w:rPr>
          <w:rFonts w:ascii="宋体" w:hAnsi="宋体"/>
          <w:color w:val="000000"/>
          <w:szCs w:val="21"/>
        </w:rPr>
      </w:pPr>
    </w:p>
    <w:tbl>
      <w:tblPr>
        <w:tblStyle w:val="43"/>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97" w:type="dxa"/>
            <w:shd w:val="clear" w:color="auto" w:fill="auto"/>
          </w:tcPr>
          <w:p>
            <w:pPr>
              <w:adjustRightInd w:val="0"/>
              <w:snapToGrid w:val="0"/>
              <w:spacing w:line="360" w:lineRule="auto"/>
              <w:jc w:val="center"/>
              <w:rPr>
                <w:rFonts w:ascii="黑体" w:hAnsi="黑体" w:eastAsia="黑体"/>
                <w:color w:val="000000"/>
                <w:kern w:val="0"/>
                <w:sz w:val="28"/>
                <w:szCs w:val="28"/>
                <w:u w:val="single"/>
              </w:rPr>
            </w:pPr>
            <w:r>
              <w:rPr>
                <w:rFonts w:ascii="黑体" w:hAnsi="黑体" w:eastAsia="黑体"/>
                <w:color w:val="000000"/>
                <w:kern w:val="0"/>
                <w:sz w:val="28"/>
                <w:szCs w:val="28"/>
                <w:u w:val="single"/>
              </w:rPr>
              <w:t>开具</w:t>
            </w:r>
            <w:r>
              <w:rPr>
                <w:rFonts w:hint="eastAsia" w:ascii="黑体" w:hAnsi="黑体" w:eastAsia="黑体"/>
                <w:color w:val="000000"/>
                <w:kern w:val="0"/>
                <w:sz w:val="28"/>
                <w:szCs w:val="28"/>
                <w:u w:val="single"/>
              </w:rPr>
              <w:t>发票信息</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□增值税普通发票</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□或按照以下信息开具增值税专用发票：</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单位名称：</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纳税人识别号：</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地址：</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电话：</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开户行：</w:t>
            </w:r>
          </w:p>
          <w:p>
            <w:pPr>
              <w:adjustRightInd w:val="0"/>
              <w:snapToGrid w:val="0"/>
              <w:spacing w:line="360" w:lineRule="auto"/>
              <w:ind w:firstLine="420" w:firstLineChars="200"/>
              <w:rPr>
                <w:rFonts w:ascii="宋体" w:hAnsi="宋体"/>
                <w:color w:val="000000"/>
                <w:kern w:val="0"/>
                <w:sz w:val="20"/>
                <w:szCs w:val="21"/>
              </w:rPr>
            </w:pPr>
            <w:r>
              <w:rPr>
                <w:rFonts w:ascii="宋体" w:hAnsi="宋体"/>
                <w:color w:val="000000"/>
                <w:kern w:val="0"/>
                <w:szCs w:val="21"/>
              </w:rPr>
              <w:t>账号：</w:t>
            </w:r>
          </w:p>
        </w:tc>
      </w:tr>
    </w:tbl>
    <w:p>
      <w:pPr>
        <w:adjustRightInd w:val="0"/>
        <w:snapToGrid w:val="0"/>
        <w:spacing w:line="360" w:lineRule="auto"/>
        <w:ind w:firstLine="420" w:firstLineChars="200"/>
        <w:rPr>
          <w:rFonts w:ascii="宋体" w:hAnsi="宋体"/>
          <w:szCs w:val="21"/>
        </w:rPr>
      </w:pPr>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szCs w:val="21"/>
        </w:rPr>
      </w:pPr>
      <w:r>
        <w:rPr>
          <w:rFonts w:hint="eastAsia" w:ascii="宋体" w:hAnsi="宋体"/>
          <w:szCs w:val="21"/>
        </w:rPr>
        <w:t>供应商名称（盖单位公章）：</w:t>
      </w:r>
    </w:p>
    <w:p>
      <w:pPr>
        <w:adjustRightInd w:val="0"/>
        <w:snapToGrid w:val="0"/>
        <w:spacing w:line="360" w:lineRule="auto"/>
        <w:rPr>
          <w:rFonts w:ascii="宋体" w:hAnsi="宋体"/>
          <w:szCs w:val="21"/>
        </w:rPr>
      </w:pPr>
      <w:r>
        <w:rPr>
          <w:rFonts w:hint="eastAsia" w:ascii="宋体" w:hAnsi="宋体"/>
          <w:color w:val="000000"/>
          <w:szCs w:val="21"/>
        </w:rPr>
        <w:t>法定代表人（单位负责人）（签字或印章）或其授权的代理人（签字）</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日期：年月_日</w:t>
      </w:r>
    </w:p>
    <w:p>
      <w:pPr>
        <w:spacing w:line="360" w:lineRule="exact"/>
        <w:rPr>
          <w:rFonts w:ascii="宋体"/>
        </w:rPr>
      </w:pPr>
    </w:p>
    <w:p>
      <w:pPr>
        <w:spacing w:line="360" w:lineRule="exact"/>
        <w:rPr>
          <w:rFonts w:ascii="宋体"/>
        </w:rPr>
      </w:pPr>
    </w:p>
    <w:p>
      <w:pPr>
        <w:spacing w:line="360" w:lineRule="exact"/>
        <w:rPr>
          <w:rFonts w:ascii="宋体"/>
        </w:rPr>
      </w:pPr>
    </w:p>
    <w:p/>
    <w:p>
      <w:pPr>
        <w:adjustRightInd w:val="0"/>
        <w:snapToGrid w:val="0"/>
        <w:rPr>
          <w:rFonts w:ascii="黑体" w:hAnsi="宋体" w:eastAsia="黑体"/>
          <w:b/>
          <w:sz w:val="24"/>
        </w:rPr>
      </w:pPr>
    </w:p>
    <w:p>
      <w:pPr>
        <w:pStyle w:val="6"/>
        <w:jc w:val="center"/>
        <w:rPr>
          <w:rFonts w:ascii="黑体" w:hAnsi="黑体" w:eastAsia="黑体"/>
          <w:b w:val="0"/>
          <w:bCs w:val="0"/>
          <w:sz w:val="32"/>
        </w:rPr>
      </w:pPr>
      <w:r>
        <w:br w:type="page"/>
      </w:r>
    </w:p>
    <w:p>
      <w:pPr>
        <w:pStyle w:val="6"/>
        <w:jc w:val="center"/>
      </w:pPr>
      <w:bookmarkStart w:id="89" w:name="_Toc3261"/>
      <w:r>
        <w:rPr>
          <w:rFonts w:hint="eastAsia"/>
        </w:rPr>
        <w:t>十四、承诺函</w:t>
      </w:r>
      <w:bookmarkEnd w:id="89"/>
    </w:p>
    <w:p>
      <w:pPr>
        <w:pStyle w:val="2"/>
        <w:rPr>
          <w:lang w:val="en-US"/>
        </w:rPr>
      </w:pPr>
    </w:p>
    <w:p>
      <w:pPr>
        <w:adjustRightInd w:val="0"/>
        <w:snapToGrid w:val="0"/>
        <w:spacing w:line="360" w:lineRule="auto"/>
        <w:rPr>
          <w:rFonts w:ascii="宋体" w:hAnsi="宋体" w:cs="仿宋_GB2312"/>
          <w:szCs w:val="21"/>
        </w:rPr>
      </w:pPr>
      <w:r>
        <w:rPr>
          <w:rFonts w:hint="eastAsia" w:ascii="宋体" w:hAnsi="宋体" w:cs="仿宋_GB2312"/>
          <w:szCs w:val="21"/>
        </w:rPr>
        <w:t>致采购人或采购代理机构：</w:t>
      </w:r>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cs="仿宋_GB2312"/>
          <w:szCs w:val="21"/>
        </w:rPr>
      </w:pPr>
      <w:r>
        <w:rPr>
          <w:rFonts w:hint="eastAsia" w:ascii="宋体" w:hAnsi="宋体" w:cs="仿宋_GB2312"/>
          <w:szCs w:val="21"/>
        </w:rPr>
        <w:t>本单位郑重承诺，本公司参加政府采购活动过程中具备下列条件：</w:t>
      </w:r>
    </w:p>
    <w:p>
      <w:pPr>
        <w:adjustRightInd w:val="0"/>
        <w:snapToGrid w:val="0"/>
        <w:spacing w:line="360" w:lineRule="auto"/>
        <w:rPr>
          <w:rFonts w:ascii="宋体" w:hAnsi="宋体" w:cs="仿宋_GB2312"/>
          <w:szCs w:val="21"/>
        </w:rPr>
      </w:pPr>
      <w:r>
        <w:rPr>
          <w:rFonts w:ascii="宋体" w:hAnsi="宋体" w:cs="仿宋_GB2312"/>
          <w:szCs w:val="21"/>
        </w:rPr>
        <w:t>(一)具有独立承担民事责任的能力;</w:t>
      </w:r>
    </w:p>
    <w:p>
      <w:pPr>
        <w:adjustRightInd w:val="0"/>
        <w:snapToGrid w:val="0"/>
        <w:spacing w:line="360" w:lineRule="auto"/>
        <w:rPr>
          <w:rFonts w:ascii="宋体" w:hAnsi="宋体" w:cs="仿宋_GB2312"/>
          <w:szCs w:val="21"/>
        </w:rPr>
      </w:pPr>
      <w:r>
        <w:rPr>
          <w:rFonts w:ascii="宋体" w:hAnsi="宋体" w:cs="仿宋_GB2312"/>
          <w:szCs w:val="21"/>
        </w:rPr>
        <w:t>(二)具有良好的商业信誉和健全的财务会计制度;</w:t>
      </w:r>
    </w:p>
    <w:p>
      <w:pPr>
        <w:adjustRightInd w:val="0"/>
        <w:snapToGrid w:val="0"/>
        <w:spacing w:line="360" w:lineRule="auto"/>
        <w:rPr>
          <w:rFonts w:ascii="宋体" w:hAnsi="宋体" w:cs="仿宋_GB2312"/>
          <w:szCs w:val="21"/>
        </w:rPr>
      </w:pPr>
      <w:r>
        <w:rPr>
          <w:rFonts w:ascii="宋体" w:hAnsi="宋体" w:cs="仿宋_GB2312"/>
          <w:szCs w:val="21"/>
        </w:rPr>
        <w:t>(三)具有履行合同所必需的设备和专业技术能力;</w:t>
      </w:r>
    </w:p>
    <w:p>
      <w:pPr>
        <w:adjustRightInd w:val="0"/>
        <w:snapToGrid w:val="0"/>
        <w:spacing w:line="360" w:lineRule="auto"/>
        <w:rPr>
          <w:rFonts w:ascii="宋体" w:hAnsi="宋体" w:cs="仿宋_GB2312"/>
          <w:szCs w:val="21"/>
        </w:rPr>
      </w:pPr>
      <w:r>
        <w:rPr>
          <w:rFonts w:ascii="宋体" w:hAnsi="宋体" w:cs="仿宋_GB2312"/>
          <w:szCs w:val="21"/>
        </w:rPr>
        <w:t>(四)有依法缴纳税收和社会保障资金的良好记录;</w:t>
      </w:r>
    </w:p>
    <w:p>
      <w:pPr>
        <w:adjustRightInd w:val="0"/>
        <w:snapToGrid w:val="0"/>
        <w:spacing w:line="360" w:lineRule="auto"/>
        <w:rPr>
          <w:rFonts w:ascii="宋体" w:hAnsi="宋体" w:cs="仿宋_GB2312"/>
          <w:szCs w:val="21"/>
        </w:rPr>
      </w:pPr>
      <w:r>
        <w:rPr>
          <w:rFonts w:ascii="宋体" w:hAnsi="宋体" w:cs="仿宋_GB2312"/>
          <w:szCs w:val="21"/>
        </w:rPr>
        <w:t>(五)参加政府采购活动前三年内，在经营活动中没有重大违法记录;</w:t>
      </w:r>
    </w:p>
    <w:p>
      <w:pPr>
        <w:adjustRightInd w:val="0"/>
        <w:snapToGrid w:val="0"/>
        <w:spacing w:line="360" w:lineRule="auto"/>
        <w:rPr>
          <w:rFonts w:ascii="宋体" w:hAnsi="宋体" w:cs="仿宋_GB2312"/>
          <w:szCs w:val="21"/>
        </w:rPr>
      </w:pPr>
      <w:r>
        <w:rPr>
          <w:rFonts w:ascii="宋体" w:hAnsi="宋体" w:cs="仿宋_GB2312"/>
          <w:szCs w:val="21"/>
        </w:rPr>
        <w:t>(六)法律、行政法规规定的其他条件。</w:t>
      </w:r>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cs="仿宋_GB2312"/>
          <w:szCs w:val="21"/>
        </w:rPr>
      </w:pPr>
    </w:p>
    <w:p>
      <w:pPr>
        <w:adjustRightInd w:val="0"/>
        <w:snapToGrid w:val="0"/>
        <w:spacing w:line="360" w:lineRule="auto"/>
        <w:rPr>
          <w:rFonts w:ascii="宋体" w:hAnsi="宋体" w:cs="仿宋_GB2312"/>
          <w:szCs w:val="21"/>
        </w:rPr>
      </w:pPr>
      <w:r>
        <w:rPr>
          <w:rFonts w:hint="eastAsia" w:ascii="宋体" w:hAnsi="宋体" w:cs="仿宋_GB2312"/>
          <w:szCs w:val="21"/>
        </w:rPr>
        <w:t>投标人</w:t>
      </w:r>
      <w:r>
        <w:rPr>
          <w:rFonts w:ascii="宋体" w:hAnsi="宋体" w:cs="仿宋_GB2312"/>
          <w:szCs w:val="21"/>
        </w:rPr>
        <w:t>（</w:t>
      </w:r>
      <w:r>
        <w:rPr>
          <w:rFonts w:hint="eastAsia" w:ascii="宋体" w:hAnsi="宋体" w:cs="仿宋_GB2312"/>
          <w:szCs w:val="21"/>
        </w:rPr>
        <w:t>盖单位公</w:t>
      </w:r>
      <w:r>
        <w:rPr>
          <w:rFonts w:ascii="宋体" w:hAnsi="宋体" w:cs="仿宋_GB2312"/>
          <w:szCs w:val="21"/>
        </w:rPr>
        <w:t xml:space="preserve">章）： </w:t>
      </w:r>
    </w:p>
    <w:p>
      <w:pPr>
        <w:adjustRightInd w:val="0"/>
        <w:snapToGrid w:val="0"/>
        <w:spacing w:line="360" w:lineRule="auto"/>
        <w:rPr>
          <w:rFonts w:ascii="宋体" w:hAnsi="宋体" w:cs="仿宋_GB2312"/>
          <w:szCs w:val="21"/>
        </w:rPr>
      </w:pPr>
      <w:r>
        <w:rPr>
          <w:rFonts w:ascii="宋体" w:hAnsi="宋体" w:cs="仿宋_GB2312"/>
          <w:szCs w:val="21"/>
        </w:rPr>
        <w:t>法定代表人</w:t>
      </w:r>
      <w:r>
        <w:rPr>
          <w:rFonts w:hint="eastAsia" w:ascii="宋体" w:hAnsi="宋体" w:cs="仿宋_GB2312"/>
          <w:szCs w:val="21"/>
        </w:rPr>
        <w:t>（签字或盖章）</w:t>
      </w:r>
      <w:r>
        <w:rPr>
          <w:rFonts w:ascii="宋体" w:hAnsi="宋体" w:cs="仿宋_GB2312"/>
          <w:szCs w:val="21"/>
        </w:rPr>
        <w:t>或</w:t>
      </w:r>
      <w:r>
        <w:rPr>
          <w:rFonts w:hint="eastAsia" w:ascii="宋体" w:hAnsi="宋体" w:cs="仿宋_GB2312"/>
          <w:szCs w:val="21"/>
        </w:rPr>
        <w:t>授权代表(签字)</w:t>
      </w:r>
      <w:r>
        <w:rPr>
          <w:rFonts w:ascii="宋体" w:hAnsi="宋体" w:cs="仿宋_GB2312"/>
          <w:szCs w:val="21"/>
        </w:rPr>
        <w:t xml:space="preserve">：       </w:t>
      </w:r>
    </w:p>
    <w:p>
      <w:pPr>
        <w:adjustRightInd w:val="0"/>
        <w:snapToGrid w:val="0"/>
        <w:spacing w:line="360" w:lineRule="auto"/>
        <w:rPr>
          <w:rFonts w:ascii="宋体" w:hAnsi="宋体" w:cs="仿宋_GB2312"/>
          <w:szCs w:val="21"/>
        </w:rPr>
      </w:pPr>
      <w:r>
        <w:rPr>
          <w:rFonts w:ascii="宋体" w:hAnsi="宋体" w:cs="仿宋_GB2312"/>
          <w:szCs w:val="21"/>
        </w:rPr>
        <w:t xml:space="preserve">日期：       年    月    日 </w:t>
      </w:r>
    </w:p>
    <w:p>
      <w:pPr>
        <w:adjustRightInd w:val="0"/>
        <w:snapToGrid w:val="0"/>
        <w:spacing w:beforeLines="50" w:line="360" w:lineRule="auto"/>
        <w:jc w:val="center"/>
        <w:outlineLvl w:val="0"/>
        <w:rPr>
          <w:rFonts w:ascii="宋体" w:hAnsi="宋体"/>
          <w:color w:val="000000"/>
          <w:sz w:val="28"/>
          <w:szCs w:val="28"/>
        </w:rPr>
      </w:pPr>
    </w:p>
    <w:p>
      <w:pPr>
        <w:pStyle w:val="42"/>
        <w:ind w:left="0" w:leftChars="0" w:firstLine="0" w:firstLineChars="0"/>
      </w:pPr>
    </w:p>
    <w:p>
      <w:pPr>
        <w:pStyle w:val="2"/>
      </w:pPr>
    </w:p>
    <w:sectPr>
      <w:footerReference r:id="rId4" w:type="default"/>
      <w:footerReference r:id="rId5" w:type="even"/>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font-weight : 700">
    <w:altName w:val="微软雅黑"/>
    <w:panose1 w:val="00000000000000000000"/>
    <w:charset w:val="00"/>
    <w:family w:val="auto"/>
    <w:pitch w:val="default"/>
    <w:sig w:usb0="00000000" w:usb1="00000000" w:usb2="00000000" w:usb3="00000000" w:csb0="00040001" w:csb1="00000000"/>
  </w:font>
  <w:font w:name="font-weight : 400">
    <w:altName w:val="微软雅黑"/>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Arial Narrow">
    <w:altName w:val="Arial"/>
    <w:panose1 w:val="00000000000000000000"/>
    <w:charset w:val="00"/>
    <w:family w:val="swiss"/>
    <w:pitch w:val="default"/>
    <w:sig w:usb0="00000000" w:usb1="00000000" w:usb2="00000000" w:usb3="00000000" w:csb0="0000009F" w:csb1="00000000"/>
  </w:font>
  <w:font w:name="TimesNewRomanPSMT">
    <w:altName w:val="Times New Roman"/>
    <w:panose1 w:val="00000000000000000000"/>
    <w:charset w:val="00"/>
    <w:family w:val="roman"/>
    <w:pitch w:val="default"/>
    <w:sig w:usb0="00000000" w:usb1="00000000" w:usb2="00000000" w:usb3="00000000" w:csb0="00000001" w:csb1="00000000"/>
  </w:font>
  <w:font w:name="隶书">
    <w:altName w:val="微软雅黑"/>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80F3C52" w:usb2="00000016" w:usb3="00000000" w:csb0="0004001F" w:csb1="00000000"/>
  </w:font>
  <w:font w:name="STHeiti Light">
    <w:altName w:val="宋体"/>
    <w:panose1 w:val="00000000000000000000"/>
    <w:charset w:val="86"/>
    <w:family w:val="auto"/>
    <w:pitch w:val="default"/>
    <w:sig w:usb0="00000000" w:usb1="00000000" w:usb2="00000010" w:usb3="00000000" w:csb0="00040000" w:csb1="00000000"/>
  </w:font>
  <w:font w:name="华文宋体">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left="240" w:right="359" w:rightChars="171" w:hanging="240" w:hangingChars="100"/>
      <w:jc w:val="center"/>
      <w:rPr>
        <w:rFonts w:eastAsia="楷体_GB2312"/>
        <w:sz w:val="24"/>
        <w:szCs w:val="24"/>
      </w:rPr>
    </w:pPr>
    <w:r>
      <w:rPr>
        <w:rStyle w:val="47"/>
        <w:rFonts w:hint="eastAsia" w:ascii="仿宋_GB2312" w:eastAsia="仿宋_GB2312"/>
        <w:sz w:val="24"/>
        <w:szCs w:val="24"/>
      </w:rPr>
      <w:t>—</w:t>
    </w:r>
    <w:r>
      <w:rPr>
        <w:rStyle w:val="47"/>
        <w:rFonts w:hint="eastAsia" w:ascii="仿宋_GB2312" w:eastAsia="仿宋_GB2312"/>
        <w:sz w:val="24"/>
        <w:szCs w:val="24"/>
      </w:rPr>
      <w:fldChar w:fldCharType="begin"/>
    </w:r>
    <w:r>
      <w:rPr>
        <w:rStyle w:val="47"/>
        <w:rFonts w:hint="eastAsia" w:ascii="仿宋_GB2312" w:eastAsia="仿宋_GB2312"/>
        <w:sz w:val="24"/>
        <w:szCs w:val="24"/>
      </w:rPr>
      <w:instrText xml:space="preserve"> PAGE </w:instrText>
    </w:r>
    <w:r>
      <w:rPr>
        <w:rStyle w:val="47"/>
        <w:rFonts w:hint="eastAsia" w:ascii="仿宋_GB2312" w:eastAsia="仿宋_GB2312"/>
        <w:sz w:val="24"/>
        <w:szCs w:val="24"/>
      </w:rPr>
      <w:fldChar w:fldCharType="separate"/>
    </w:r>
    <w:r>
      <w:rPr>
        <w:rStyle w:val="47"/>
        <w:rFonts w:ascii="仿宋_GB2312" w:eastAsia="仿宋_GB2312"/>
        <w:sz w:val="24"/>
        <w:szCs w:val="24"/>
      </w:rPr>
      <w:t>37</w:t>
    </w:r>
    <w:r>
      <w:rPr>
        <w:rStyle w:val="47"/>
        <w:rFonts w:hint="eastAsia" w:ascii="仿宋_GB2312" w:eastAsia="仿宋_GB2312"/>
        <w:sz w:val="24"/>
        <w:szCs w:val="24"/>
      </w:rPr>
      <w:fldChar w:fldCharType="end"/>
    </w:r>
    <w:r>
      <w:rPr>
        <w:rStyle w:val="47"/>
        <w:rFonts w:hint="eastAsia" w:ascii="仿宋_GB2312" w:eastAsia="仿宋_GB2312"/>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right" w:y="1"/>
      <w:jc w:val="center"/>
      <w:rPr>
        <w:rStyle w:val="47"/>
        <w:rFonts w:ascii="宋体" w:hAnsi="宋体"/>
        <w:sz w:val="21"/>
        <w:szCs w:val="21"/>
      </w:rPr>
    </w:pPr>
    <w:r>
      <w:fldChar w:fldCharType="begin"/>
    </w:r>
    <w:r>
      <w:rPr>
        <w:rStyle w:val="47"/>
      </w:rPr>
      <w:instrText xml:space="preserve">PAGE  </w:instrText>
    </w:r>
    <w:r>
      <w:fldChar w:fldCharType="separate"/>
    </w:r>
    <w:r>
      <w:rPr>
        <w:rStyle w:val="47"/>
      </w:rPr>
      <w:t>61</w:t>
    </w:r>
    <w:r>
      <w:rPr>
        <w:rFonts w:ascii="宋体" w:hAnsi="宋体"/>
        <w:sz w:val="21"/>
        <w:szCs w:val="21"/>
      </w:rPr>
      <w:fldChar w:fldCharType="end"/>
    </w:r>
  </w:p>
  <w:p>
    <w:pPr>
      <w:pStyle w:val="2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right" w:y="1"/>
      <w:rPr>
        <w:rStyle w:val="47"/>
      </w:rPr>
    </w:pPr>
    <w:r>
      <w:fldChar w:fldCharType="begin"/>
    </w:r>
    <w:r>
      <w:rPr>
        <w:rStyle w:val="47"/>
      </w:rPr>
      <w:instrText xml:space="preserve">PAGE  </w:instrText>
    </w:r>
    <w:r>
      <w:fldChar w:fldCharType="end"/>
    </w:r>
  </w:p>
  <w:p>
    <w:pPr>
      <w:pStyle w:val="29"/>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6BF0C8"/>
    <w:multiLevelType w:val="singleLevel"/>
    <w:tmpl w:val="EE6BF0C8"/>
    <w:lvl w:ilvl="0" w:tentative="0">
      <w:start w:val="8"/>
      <w:numFmt w:val="decimal"/>
      <w:suff w:val="space"/>
      <w:lvlText w:val="%1."/>
      <w:lvlJc w:val="left"/>
    </w:lvl>
  </w:abstractNum>
  <w:abstractNum w:abstractNumId="1">
    <w:nsid w:val="0DB9FAA7"/>
    <w:multiLevelType w:val="singleLevel"/>
    <w:tmpl w:val="0DB9FAA7"/>
    <w:lvl w:ilvl="0" w:tentative="0">
      <w:start w:val="1"/>
      <w:numFmt w:val="decimal"/>
      <w:lvlText w:val="%1."/>
      <w:lvlJc w:val="left"/>
      <w:pPr>
        <w:ind w:left="425" w:hanging="425"/>
      </w:pPr>
      <w:rPr>
        <w:rFonts w:hint="default"/>
      </w:rPr>
    </w:lvl>
  </w:abstractNum>
  <w:abstractNum w:abstractNumId="2">
    <w:nsid w:val="12BF5261"/>
    <w:multiLevelType w:val="multilevel"/>
    <w:tmpl w:val="12BF5261"/>
    <w:lvl w:ilvl="0" w:tentative="0">
      <w:start w:val="1"/>
      <w:numFmt w:val="decimal"/>
      <w:lvlText w:val="%1."/>
      <w:lvlJc w:val="left"/>
      <w:pPr>
        <w:ind w:left="360" w:hanging="360"/>
      </w:pPr>
      <w:rPr>
        <w:rFonts w:hint="eastAsia" w:cs="Times New Roman"/>
        <w:color w:val="000000"/>
      </w:rPr>
    </w:lvl>
    <w:lvl w:ilvl="1" w:tentative="0">
      <w:start w:val="1"/>
      <w:numFmt w:val="lowerLetter"/>
      <w:lvlText w:val="%2)"/>
      <w:lvlJc w:val="left"/>
      <w:pPr>
        <w:ind w:left="960" w:hanging="480"/>
      </w:pPr>
      <w:rPr>
        <w:rFonts w:cs="Times New Roman"/>
      </w:rPr>
    </w:lvl>
    <w:lvl w:ilvl="2" w:tentative="0">
      <w:start w:val="1"/>
      <w:numFmt w:val="lowerRoman"/>
      <w:lvlText w:val="%3."/>
      <w:lvlJc w:val="right"/>
      <w:pPr>
        <w:ind w:left="1440" w:hanging="480"/>
      </w:pPr>
      <w:rPr>
        <w:rFonts w:cs="Times New Roman"/>
      </w:rPr>
    </w:lvl>
    <w:lvl w:ilvl="3" w:tentative="0">
      <w:start w:val="1"/>
      <w:numFmt w:val="decimal"/>
      <w:lvlText w:val="%4."/>
      <w:lvlJc w:val="left"/>
      <w:pPr>
        <w:ind w:left="1920" w:hanging="480"/>
      </w:pPr>
      <w:rPr>
        <w:rFonts w:cs="Times New Roman"/>
      </w:rPr>
    </w:lvl>
    <w:lvl w:ilvl="4" w:tentative="0">
      <w:start w:val="1"/>
      <w:numFmt w:val="lowerLetter"/>
      <w:lvlText w:val="%5)"/>
      <w:lvlJc w:val="left"/>
      <w:pPr>
        <w:ind w:left="2400" w:hanging="480"/>
      </w:pPr>
      <w:rPr>
        <w:rFonts w:cs="Times New Roman"/>
      </w:rPr>
    </w:lvl>
    <w:lvl w:ilvl="5" w:tentative="0">
      <w:start w:val="1"/>
      <w:numFmt w:val="lowerRoman"/>
      <w:lvlText w:val="%6."/>
      <w:lvlJc w:val="right"/>
      <w:pPr>
        <w:ind w:left="2880" w:hanging="480"/>
      </w:pPr>
      <w:rPr>
        <w:rFonts w:cs="Times New Roman"/>
      </w:rPr>
    </w:lvl>
    <w:lvl w:ilvl="6" w:tentative="0">
      <w:start w:val="1"/>
      <w:numFmt w:val="decimal"/>
      <w:lvlText w:val="%7."/>
      <w:lvlJc w:val="left"/>
      <w:pPr>
        <w:ind w:left="3360" w:hanging="480"/>
      </w:pPr>
      <w:rPr>
        <w:rFonts w:cs="Times New Roman"/>
      </w:rPr>
    </w:lvl>
    <w:lvl w:ilvl="7" w:tentative="0">
      <w:start w:val="1"/>
      <w:numFmt w:val="lowerLetter"/>
      <w:lvlText w:val="%8)"/>
      <w:lvlJc w:val="left"/>
      <w:pPr>
        <w:ind w:left="3840" w:hanging="480"/>
      </w:pPr>
      <w:rPr>
        <w:rFonts w:cs="Times New Roman"/>
      </w:rPr>
    </w:lvl>
    <w:lvl w:ilvl="8" w:tentative="0">
      <w:start w:val="1"/>
      <w:numFmt w:val="lowerRoman"/>
      <w:lvlText w:val="%9."/>
      <w:lvlJc w:val="right"/>
      <w:pPr>
        <w:ind w:left="4320" w:hanging="480"/>
      </w:pPr>
      <w:rPr>
        <w:rFonts w:cs="Times New Roman"/>
      </w:rPr>
    </w:lvl>
  </w:abstractNum>
  <w:abstractNum w:abstractNumId="3">
    <w:nsid w:val="1D172F2A"/>
    <w:multiLevelType w:val="multilevel"/>
    <w:tmpl w:val="1D172F2A"/>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7BBD72"/>
    <w:multiLevelType w:val="singleLevel"/>
    <w:tmpl w:val="277BBD72"/>
    <w:lvl w:ilvl="0" w:tentative="0">
      <w:start w:val="1"/>
      <w:numFmt w:val="decimal"/>
      <w:suff w:val="nothing"/>
      <w:lvlText w:val="（%1）"/>
      <w:lvlJc w:val="left"/>
    </w:lvl>
  </w:abstractNum>
  <w:abstractNum w:abstractNumId="5">
    <w:nsid w:val="3DDB9F30"/>
    <w:multiLevelType w:val="singleLevel"/>
    <w:tmpl w:val="3DDB9F30"/>
    <w:lvl w:ilvl="0" w:tentative="0">
      <w:start w:val="1"/>
      <w:numFmt w:val="decimal"/>
      <w:suff w:val="nothing"/>
      <w:lvlText w:val="（%1）"/>
      <w:lvlJc w:val="left"/>
    </w:lvl>
  </w:abstractNum>
  <w:abstractNum w:abstractNumId="6">
    <w:nsid w:val="51625EE4"/>
    <w:multiLevelType w:val="multilevel"/>
    <w:tmpl w:val="51625EE4"/>
    <w:lvl w:ilvl="0" w:tentative="0">
      <w:start w:val="3"/>
      <w:numFmt w:val="japaneseCounting"/>
      <w:lvlText w:val="%1、"/>
      <w:lvlJc w:val="left"/>
      <w:pPr>
        <w:ind w:left="420" w:hanging="420"/>
      </w:pPr>
      <w:rPr>
        <w:rFonts w:hint="default" w:cs="Times New Roman"/>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C3A659B"/>
    <w:multiLevelType w:val="multilevel"/>
    <w:tmpl w:val="5C3A65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1F4AC7"/>
    <w:multiLevelType w:val="singleLevel"/>
    <w:tmpl w:val="771F4AC7"/>
    <w:lvl w:ilvl="0" w:tentative="0">
      <w:start w:val="1"/>
      <w:numFmt w:val="decimal"/>
      <w:lvlText w:val="%1."/>
      <w:lvlJc w:val="left"/>
      <w:pPr>
        <w:ind w:left="425" w:hanging="425"/>
      </w:pPr>
      <w:rPr>
        <w:rFonts w:hint="default"/>
      </w:rPr>
    </w:lvl>
  </w:abstractNum>
  <w:num w:numId="1">
    <w:abstractNumId w:val="5"/>
  </w:num>
  <w:num w:numId="2">
    <w:abstractNumId w:val="4"/>
  </w:num>
  <w:num w:numId="3">
    <w:abstractNumId w:val="0"/>
  </w:num>
  <w:num w:numId="4">
    <w:abstractNumId w:val="1"/>
  </w:num>
  <w:num w:numId="5">
    <w:abstractNumId w:val="8"/>
  </w:num>
  <w:num w:numId="6">
    <w:abstractNumId w:val="6"/>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125"/>
    <w:rsid w:val="00001203"/>
    <w:rsid w:val="000016F7"/>
    <w:rsid w:val="00001FCF"/>
    <w:rsid w:val="00002A8D"/>
    <w:rsid w:val="00007A5F"/>
    <w:rsid w:val="0001333D"/>
    <w:rsid w:val="00013A1C"/>
    <w:rsid w:val="000144FB"/>
    <w:rsid w:val="00014EE3"/>
    <w:rsid w:val="000152FB"/>
    <w:rsid w:val="00015504"/>
    <w:rsid w:val="00015C39"/>
    <w:rsid w:val="00016276"/>
    <w:rsid w:val="00017675"/>
    <w:rsid w:val="0002077F"/>
    <w:rsid w:val="00025034"/>
    <w:rsid w:val="00026785"/>
    <w:rsid w:val="00026C20"/>
    <w:rsid w:val="00030FE0"/>
    <w:rsid w:val="00032460"/>
    <w:rsid w:val="0003268F"/>
    <w:rsid w:val="000343C1"/>
    <w:rsid w:val="00035FB7"/>
    <w:rsid w:val="00036BE8"/>
    <w:rsid w:val="00037BBA"/>
    <w:rsid w:val="00037D5A"/>
    <w:rsid w:val="00042A1B"/>
    <w:rsid w:val="00043887"/>
    <w:rsid w:val="00045114"/>
    <w:rsid w:val="000509DB"/>
    <w:rsid w:val="00052125"/>
    <w:rsid w:val="0005439A"/>
    <w:rsid w:val="00057592"/>
    <w:rsid w:val="00060D72"/>
    <w:rsid w:val="000647D6"/>
    <w:rsid w:val="0006639E"/>
    <w:rsid w:val="00067BBB"/>
    <w:rsid w:val="0007017E"/>
    <w:rsid w:val="00070A94"/>
    <w:rsid w:val="00071220"/>
    <w:rsid w:val="0007267C"/>
    <w:rsid w:val="00072F31"/>
    <w:rsid w:val="00074294"/>
    <w:rsid w:val="000744AA"/>
    <w:rsid w:val="00075456"/>
    <w:rsid w:val="0007557A"/>
    <w:rsid w:val="00075FD2"/>
    <w:rsid w:val="000773F1"/>
    <w:rsid w:val="00077901"/>
    <w:rsid w:val="00082976"/>
    <w:rsid w:val="00082BF4"/>
    <w:rsid w:val="0008588B"/>
    <w:rsid w:val="00086C54"/>
    <w:rsid w:val="0009356F"/>
    <w:rsid w:val="000939D8"/>
    <w:rsid w:val="00093D50"/>
    <w:rsid w:val="0009485C"/>
    <w:rsid w:val="0009506C"/>
    <w:rsid w:val="000A05A9"/>
    <w:rsid w:val="000A07D4"/>
    <w:rsid w:val="000A1BC9"/>
    <w:rsid w:val="000A352C"/>
    <w:rsid w:val="000A4663"/>
    <w:rsid w:val="000A5DEC"/>
    <w:rsid w:val="000A6B57"/>
    <w:rsid w:val="000A78AB"/>
    <w:rsid w:val="000A78E0"/>
    <w:rsid w:val="000A79F2"/>
    <w:rsid w:val="000B0D05"/>
    <w:rsid w:val="000B0E18"/>
    <w:rsid w:val="000B198C"/>
    <w:rsid w:val="000B2A9E"/>
    <w:rsid w:val="000B4A33"/>
    <w:rsid w:val="000B7CC4"/>
    <w:rsid w:val="000C1157"/>
    <w:rsid w:val="000C37E3"/>
    <w:rsid w:val="000C56B6"/>
    <w:rsid w:val="000C5EEE"/>
    <w:rsid w:val="000C6193"/>
    <w:rsid w:val="000C76D4"/>
    <w:rsid w:val="000C77D6"/>
    <w:rsid w:val="000C7C37"/>
    <w:rsid w:val="000D3266"/>
    <w:rsid w:val="000D4C87"/>
    <w:rsid w:val="000D5D93"/>
    <w:rsid w:val="000D5DBB"/>
    <w:rsid w:val="000D6BE9"/>
    <w:rsid w:val="000E005A"/>
    <w:rsid w:val="000E257B"/>
    <w:rsid w:val="000E2741"/>
    <w:rsid w:val="000E2C6B"/>
    <w:rsid w:val="000E46F6"/>
    <w:rsid w:val="000E47A8"/>
    <w:rsid w:val="000E4E6A"/>
    <w:rsid w:val="000E7E8D"/>
    <w:rsid w:val="000F0691"/>
    <w:rsid w:val="000F2F95"/>
    <w:rsid w:val="000F4678"/>
    <w:rsid w:val="000F4CEF"/>
    <w:rsid w:val="00101218"/>
    <w:rsid w:val="0010160F"/>
    <w:rsid w:val="00102577"/>
    <w:rsid w:val="001028A7"/>
    <w:rsid w:val="00102C6B"/>
    <w:rsid w:val="00103D8E"/>
    <w:rsid w:val="0010602C"/>
    <w:rsid w:val="00106197"/>
    <w:rsid w:val="001067DE"/>
    <w:rsid w:val="0010751A"/>
    <w:rsid w:val="001103DD"/>
    <w:rsid w:val="00111682"/>
    <w:rsid w:val="00112DDB"/>
    <w:rsid w:val="00113E41"/>
    <w:rsid w:val="001162F6"/>
    <w:rsid w:val="00125B74"/>
    <w:rsid w:val="00125C9F"/>
    <w:rsid w:val="00126E22"/>
    <w:rsid w:val="00131DE0"/>
    <w:rsid w:val="00133F5D"/>
    <w:rsid w:val="00134F4B"/>
    <w:rsid w:val="0014016B"/>
    <w:rsid w:val="0014099B"/>
    <w:rsid w:val="001414BF"/>
    <w:rsid w:val="00144BA5"/>
    <w:rsid w:val="00151BB7"/>
    <w:rsid w:val="0015321C"/>
    <w:rsid w:val="001548C2"/>
    <w:rsid w:val="00154AE5"/>
    <w:rsid w:val="0015646E"/>
    <w:rsid w:val="001601A0"/>
    <w:rsid w:val="00160AD1"/>
    <w:rsid w:val="00161962"/>
    <w:rsid w:val="00163D8E"/>
    <w:rsid w:val="00164C7B"/>
    <w:rsid w:val="0016658A"/>
    <w:rsid w:val="00166A8A"/>
    <w:rsid w:val="00166EFF"/>
    <w:rsid w:val="00167674"/>
    <w:rsid w:val="00170540"/>
    <w:rsid w:val="0018129E"/>
    <w:rsid w:val="00184775"/>
    <w:rsid w:val="0018656C"/>
    <w:rsid w:val="0018670C"/>
    <w:rsid w:val="00186AFA"/>
    <w:rsid w:val="00192F68"/>
    <w:rsid w:val="00194C92"/>
    <w:rsid w:val="001950EA"/>
    <w:rsid w:val="0019792C"/>
    <w:rsid w:val="00197CF0"/>
    <w:rsid w:val="001A28E3"/>
    <w:rsid w:val="001A324E"/>
    <w:rsid w:val="001A38DE"/>
    <w:rsid w:val="001A43F9"/>
    <w:rsid w:val="001A5EEA"/>
    <w:rsid w:val="001A71DE"/>
    <w:rsid w:val="001A7357"/>
    <w:rsid w:val="001A7B2C"/>
    <w:rsid w:val="001B125E"/>
    <w:rsid w:val="001B22A3"/>
    <w:rsid w:val="001B309B"/>
    <w:rsid w:val="001B510A"/>
    <w:rsid w:val="001B5246"/>
    <w:rsid w:val="001B62F0"/>
    <w:rsid w:val="001B7EDB"/>
    <w:rsid w:val="001C2353"/>
    <w:rsid w:val="001C50C7"/>
    <w:rsid w:val="001C5257"/>
    <w:rsid w:val="001C700F"/>
    <w:rsid w:val="001D0889"/>
    <w:rsid w:val="001D0E7B"/>
    <w:rsid w:val="001D1346"/>
    <w:rsid w:val="001D3938"/>
    <w:rsid w:val="001D3FC6"/>
    <w:rsid w:val="001D44C7"/>
    <w:rsid w:val="001D4BCF"/>
    <w:rsid w:val="001D520B"/>
    <w:rsid w:val="001D5283"/>
    <w:rsid w:val="001D57AF"/>
    <w:rsid w:val="001D6D31"/>
    <w:rsid w:val="001E0685"/>
    <w:rsid w:val="001E1660"/>
    <w:rsid w:val="001E1BEF"/>
    <w:rsid w:val="001E220C"/>
    <w:rsid w:val="001E356E"/>
    <w:rsid w:val="001E5408"/>
    <w:rsid w:val="001E6917"/>
    <w:rsid w:val="001E7C11"/>
    <w:rsid w:val="001F1199"/>
    <w:rsid w:val="001F15D2"/>
    <w:rsid w:val="001F19BB"/>
    <w:rsid w:val="002001C9"/>
    <w:rsid w:val="0020210F"/>
    <w:rsid w:val="002063F0"/>
    <w:rsid w:val="002073A4"/>
    <w:rsid w:val="00210B32"/>
    <w:rsid w:val="002129CD"/>
    <w:rsid w:val="00213011"/>
    <w:rsid w:val="002214CF"/>
    <w:rsid w:val="002248AB"/>
    <w:rsid w:val="00225954"/>
    <w:rsid w:val="00231B52"/>
    <w:rsid w:val="00236874"/>
    <w:rsid w:val="00236B66"/>
    <w:rsid w:val="00237EDC"/>
    <w:rsid w:val="00240183"/>
    <w:rsid w:val="0024222C"/>
    <w:rsid w:val="00243517"/>
    <w:rsid w:val="00244B19"/>
    <w:rsid w:val="00244BEE"/>
    <w:rsid w:val="002453DD"/>
    <w:rsid w:val="002510B6"/>
    <w:rsid w:val="0025125D"/>
    <w:rsid w:val="00251A51"/>
    <w:rsid w:val="00252682"/>
    <w:rsid w:val="00257133"/>
    <w:rsid w:val="00260612"/>
    <w:rsid w:val="00261E45"/>
    <w:rsid w:val="00266A08"/>
    <w:rsid w:val="00267F43"/>
    <w:rsid w:val="00267FFE"/>
    <w:rsid w:val="002709FB"/>
    <w:rsid w:val="00272A95"/>
    <w:rsid w:val="0027467E"/>
    <w:rsid w:val="00276DDD"/>
    <w:rsid w:val="002800BE"/>
    <w:rsid w:val="00280941"/>
    <w:rsid w:val="00281883"/>
    <w:rsid w:val="00281A12"/>
    <w:rsid w:val="00284655"/>
    <w:rsid w:val="0028505E"/>
    <w:rsid w:val="0028527D"/>
    <w:rsid w:val="0029052D"/>
    <w:rsid w:val="002926C7"/>
    <w:rsid w:val="00295DE8"/>
    <w:rsid w:val="00296A39"/>
    <w:rsid w:val="00297EEE"/>
    <w:rsid w:val="002A067A"/>
    <w:rsid w:val="002A0E49"/>
    <w:rsid w:val="002A4E31"/>
    <w:rsid w:val="002A5356"/>
    <w:rsid w:val="002A6037"/>
    <w:rsid w:val="002A6D72"/>
    <w:rsid w:val="002B17F3"/>
    <w:rsid w:val="002B1FD5"/>
    <w:rsid w:val="002B22FC"/>
    <w:rsid w:val="002B2E68"/>
    <w:rsid w:val="002B3287"/>
    <w:rsid w:val="002B5570"/>
    <w:rsid w:val="002B6980"/>
    <w:rsid w:val="002B7B24"/>
    <w:rsid w:val="002C074B"/>
    <w:rsid w:val="002C16C2"/>
    <w:rsid w:val="002C4149"/>
    <w:rsid w:val="002C5B44"/>
    <w:rsid w:val="002D0DAA"/>
    <w:rsid w:val="002D11D3"/>
    <w:rsid w:val="002D2147"/>
    <w:rsid w:val="002D32F7"/>
    <w:rsid w:val="002D4D77"/>
    <w:rsid w:val="002D7BCF"/>
    <w:rsid w:val="002E1106"/>
    <w:rsid w:val="002E1466"/>
    <w:rsid w:val="002E24C8"/>
    <w:rsid w:val="002E261A"/>
    <w:rsid w:val="002E3282"/>
    <w:rsid w:val="002E3318"/>
    <w:rsid w:val="002E39EE"/>
    <w:rsid w:val="002E4BB8"/>
    <w:rsid w:val="002F1B74"/>
    <w:rsid w:val="002F2FC2"/>
    <w:rsid w:val="002F459C"/>
    <w:rsid w:val="002F4B7C"/>
    <w:rsid w:val="003007F1"/>
    <w:rsid w:val="00300EB8"/>
    <w:rsid w:val="00301C3C"/>
    <w:rsid w:val="00303905"/>
    <w:rsid w:val="003044E6"/>
    <w:rsid w:val="00304998"/>
    <w:rsid w:val="003052E8"/>
    <w:rsid w:val="003068C2"/>
    <w:rsid w:val="00306B13"/>
    <w:rsid w:val="003076BC"/>
    <w:rsid w:val="00307743"/>
    <w:rsid w:val="003141F5"/>
    <w:rsid w:val="003143DE"/>
    <w:rsid w:val="0031508F"/>
    <w:rsid w:val="0031547A"/>
    <w:rsid w:val="003156D0"/>
    <w:rsid w:val="00315914"/>
    <w:rsid w:val="00324FC5"/>
    <w:rsid w:val="00325A24"/>
    <w:rsid w:val="00326DE2"/>
    <w:rsid w:val="00327731"/>
    <w:rsid w:val="0033037F"/>
    <w:rsid w:val="00332AE9"/>
    <w:rsid w:val="00332F6A"/>
    <w:rsid w:val="003336A5"/>
    <w:rsid w:val="00333E33"/>
    <w:rsid w:val="00334503"/>
    <w:rsid w:val="00334949"/>
    <w:rsid w:val="00340535"/>
    <w:rsid w:val="00340D1A"/>
    <w:rsid w:val="00341650"/>
    <w:rsid w:val="0034448F"/>
    <w:rsid w:val="00357AAD"/>
    <w:rsid w:val="00361312"/>
    <w:rsid w:val="00361316"/>
    <w:rsid w:val="0036302E"/>
    <w:rsid w:val="00363D52"/>
    <w:rsid w:val="003646DD"/>
    <w:rsid w:val="00365BCE"/>
    <w:rsid w:val="00367233"/>
    <w:rsid w:val="00370D39"/>
    <w:rsid w:val="00372D62"/>
    <w:rsid w:val="003739D9"/>
    <w:rsid w:val="00374296"/>
    <w:rsid w:val="00376EEC"/>
    <w:rsid w:val="00377AE5"/>
    <w:rsid w:val="00380BBE"/>
    <w:rsid w:val="00380CEC"/>
    <w:rsid w:val="0038384F"/>
    <w:rsid w:val="00383F34"/>
    <w:rsid w:val="00385438"/>
    <w:rsid w:val="003861D8"/>
    <w:rsid w:val="0038788A"/>
    <w:rsid w:val="00387B72"/>
    <w:rsid w:val="0039400E"/>
    <w:rsid w:val="00394E3C"/>
    <w:rsid w:val="003960AB"/>
    <w:rsid w:val="00396BC6"/>
    <w:rsid w:val="0039733E"/>
    <w:rsid w:val="003A013F"/>
    <w:rsid w:val="003A0A8D"/>
    <w:rsid w:val="003A0D4C"/>
    <w:rsid w:val="003A2A81"/>
    <w:rsid w:val="003A3D6F"/>
    <w:rsid w:val="003A4BF8"/>
    <w:rsid w:val="003A54DB"/>
    <w:rsid w:val="003A57D9"/>
    <w:rsid w:val="003A6890"/>
    <w:rsid w:val="003A6E77"/>
    <w:rsid w:val="003B0282"/>
    <w:rsid w:val="003B02A4"/>
    <w:rsid w:val="003B06F6"/>
    <w:rsid w:val="003B1832"/>
    <w:rsid w:val="003B1A05"/>
    <w:rsid w:val="003B2557"/>
    <w:rsid w:val="003B27C0"/>
    <w:rsid w:val="003B2C40"/>
    <w:rsid w:val="003B3F35"/>
    <w:rsid w:val="003B401C"/>
    <w:rsid w:val="003B4249"/>
    <w:rsid w:val="003B4B6B"/>
    <w:rsid w:val="003B51A6"/>
    <w:rsid w:val="003C0751"/>
    <w:rsid w:val="003C223A"/>
    <w:rsid w:val="003C4504"/>
    <w:rsid w:val="003C4FFE"/>
    <w:rsid w:val="003C562D"/>
    <w:rsid w:val="003C71A6"/>
    <w:rsid w:val="003C7B0D"/>
    <w:rsid w:val="003D0A0F"/>
    <w:rsid w:val="003D1AFB"/>
    <w:rsid w:val="003D370A"/>
    <w:rsid w:val="003D6738"/>
    <w:rsid w:val="003D7751"/>
    <w:rsid w:val="003E0D9A"/>
    <w:rsid w:val="003E66D0"/>
    <w:rsid w:val="003E6EDF"/>
    <w:rsid w:val="003E6F68"/>
    <w:rsid w:val="003F00E4"/>
    <w:rsid w:val="003F1FA4"/>
    <w:rsid w:val="003F2294"/>
    <w:rsid w:val="003F26E0"/>
    <w:rsid w:val="003F28AE"/>
    <w:rsid w:val="003F42A5"/>
    <w:rsid w:val="003F51E9"/>
    <w:rsid w:val="003F58B1"/>
    <w:rsid w:val="003F5C08"/>
    <w:rsid w:val="003F6AC0"/>
    <w:rsid w:val="003F7492"/>
    <w:rsid w:val="003F7AD0"/>
    <w:rsid w:val="004006B7"/>
    <w:rsid w:val="00400F0E"/>
    <w:rsid w:val="004029F2"/>
    <w:rsid w:val="004030CA"/>
    <w:rsid w:val="004055AD"/>
    <w:rsid w:val="004067E0"/>
    <w:rsid w:val="00406BE1"/>
    <w:rsid w:val="00406F2B"/>
    <w:rsid w:val="00412C94"/>
    <w:rsid w:val="00420C56"/>
    <w:rsid w:val="00420E9F"/>
    <w:rsid w:val="0042109C"/>
    <w:rsid w:val="00422330"/>
    <w:rsid w:val="00423BFD"/>
    <w:rsid w:val="004316A7"/>
    <w:rsid w:val="004321D9"/>
    <w:rsid w:val="004327DA"/>
    <w:rsid w:val="00432840"/>
    <w:rsid w:val="00434013"/>
    <w:rsid w:val="004343A8"/>
    <w:rsid w:val="004347A4"/>
    <w:rsid w:val="00434BCF"/>
    <w:rsid w:val="0043541B"/>
    <w:rsid w:val="00435875"/>
    <w:rsid w:val="00436CBE"/>
    <w:rsid w:val="0043718D"/>
    <w:rsid w:val="00437C7B"/>
    <w:rsid w:val="0044066D"/>
    <w:rsid w:val="0044102F"/>
    <w:rsid w:val="00441062"/>
    <w:rsid w:val="0044276F"/>
    <w:rsid w:val="004451B6"/>
    <w:rsid w:val="004453E6"/>
    <w:rsid w:val="00447B8A"/>
    <w:rsid w:val="00447B8D"/>
    <w:rsid w:val="004504B3"/>
    <w:rsid w:val="00450949"/>
    <w:rsid w:val="00450BB1"/>
    <w:rsid w:val="00451A29"/>
    <w:rsid w:val="00460321"/>
    <w:rsid w:val="00461742"/>
    <w:rsid w:val="004619FD"/>
    <w:rsid w:val="0046404E"/>
    <w:rsid w:val="00466258"/>
    <w:rsid w:val="004665CA"/>
    <w:rsid w:val="00474252"/>
    <w:rsid w:val="0047516E"/>
    <w:rsid w:val="00475BF8"/>
    <w:rsid w:val="00475EC9"/>
    <w:rsid w:val="004800C9"/>
    <w:rsid w:val="004817C4"/>
    <w:rsid w:val="00484E3D"/>
    <w:rsid w:val="0048525C"/>
    <w:rsid w:val="004866CF"/>
    <w:rsid w:val="004871A2"/>
    <w:rsid w:val="00490444"/>
    <w:rsid w:val="004912A6"/>
    <w:rsid w:val="00491F32"/>
    <w:rsid w:val="0049306F"/>
    <w:rsid w:val="00495838"/>
    <w:rsid w:val="00496AF2"/>
    <w:rsid w:val="00497716"/>
    <w:rsid w:val="004A04C1"/>
    <w:rsid w:val="004A05A9"/>
    <w:rsid w:val="004A1F9F"/>
    <w:rsid w:val="004A2CFE"/>
    <w:rsid w:val="004A53FC"/>
    <w:rsid w:val="004A62B2"/>
    <w:rsid w:val="004A6F11"/>
    <w:rsid w:val="004B0E0F"/>
    <w:rsid w:val="004B26A3"/>
    <w:rsid w:val="004B4D77"/>
    <w:rsid w:val="004B5A72"/>
    <w:rsid w:val="004B64C3"/>
    <w:rsid w:val="004B6CB6"/>
    <w:rsid w:val="004B7FE9"/>
    <w:rsid w:val="004C0B7E"/>
    <w:rsid w:val="004C4A9F"/>
    <w:rsid w:val="004C587E"/>
    <w:rsid w:val="004C5AEE"/>
    <w:rsid w:val="004C6CD6"/>
    <w:rsid w:val="004D0B12"/>
    <w:rsid w:val="004D0BD7"/>
    <w:rsid w:val="004D13CB"/>
    <w:rsid w:val="004D13EF"/>
    <w:rsid w:val="004D1DDB"/>
    <w:rsid w:val="004D2BD2"/>
    <w:rsid w:val="004D42BB"/>
    <w:rsid w:val="004D42ED"/>
    <w:rsid w:val="004D651C"/>
    <w:rsid w:val="004D7BB9"/>
    <w:rsid w:val="004E6FF6"/>
    <w:rsid w:val="004E7D56"/>
    <w:rsid w:val="004F0EEF"/>
    <w:rsid w:val="004F1CE8"/>
    <w:rsid w:val="004F2D54"/>
    <w:rsid w:val="004F318E"/>
    <w:rsid w:val="004F50E8"/>
    <w:rsid w:val="004F55A5"/>
    <w:rsid w:val="004F6A22"/>
    <w:rsid w:val="00504E01"/>
    <w:rsid w:val="00504F06"/>
    <w:rsid w:val="00505C57"/>
    <w:rsid w:val="005068B3"/>
    <w:rsid w:val="00507181"/>
    <w:rsid w:val="00507C1B"/>
    <w:rsid w:val="00510B57"/>
    <w:rsid w:val="00510D39"/>
    <w:rsid w:val="0051554C"/>
    <w:rsid w:val="00515973"/>
    <w:rsid w:val="00516E73"/>
    <w:rsid w:val="00520B9D"/>
    <w:rsid w:val="0052153D"/>
    <w:rsid w:val="00521E31"/>
    <w:rsid w:val="00524317"/>
    <w:rsid w:val="0052627E"/>
    <w:rsid w:val="00526B3A"/>
    <w:rsid w:val="00527C36"/>
    <w:rsid w:val="00530496"/>
    <w:rsid w:val="005307CA"/>
    <w:rsid w:val="0053223B"/>
    <w:rsid w:val="00533D9F"/>
    <w:rsid w:val="00533F6A"/>
    <w:rsid w:val="005341F4"/>
    <w:rsid w:val="005344D5"/>
    <w:rsid w:val="00535EB7"/>
    <w:rsid w:val="0053690B"/>
    <w:rsid w:val="00536D8A"/>
    <w:rsid w:val="00541020"/>
    <w:rsid w:val="00541270"/>
    <w:rsid w:val="005421E5"/>
    <w:rsid w:val="00542CFD"/>
    <w:rsid w:val="00547701"/>
    <w:rsid w:val="00547EC4"/>
    <w:rsid w:val="00553AFE"/>
    <w:rsid w:val="00555619"/>
    <w:rsid w:val="0055599F"/>
    <w:rsid w:val="005568D7"/>
    <w:rsid w:val="00560D76"/>
    <w:rsid w:val="00561077"/>
    <w:rsid w:val="005625B5"/>
    <w:rsid w:val="00563585"/>
    <w:rsid w:val="005639D6"/>
    <w:rsid w:val="00565D70"/>
    <w:rsid w:val="005660BB"/>
    <w:rsid w:val="005671DB"/>
    <w:rsid w:val="00570C10"/>
    <w:rsid w:val="00574DD8"/>
    <w:rsid w:val="005804CE"/>
    <w:rsid w:val="00580CE7"/>
    <w:rsid w:val="005813FE"/>
    <w:rsid w:val="00581930"/>
    <w:rsid w:val="00581BE7"/>
    <w:rsid w:val="005854A3"/>
    <w:rsid w:val="0058665C"/>
    <w:rsid w:val="0058684A"/>
    <w:rsid w:val="00586FE7"/>
    <w:rsid w:val="00587935"/>
    <w:rsid w:val="005930CA"/>
    <w:rsid w:val="005A06B1"/>
    <w:rsid w:val="005A1912"/>
    <w:rsid w:val="005A32F1"/>
    <w:rsid w:val="005A347F"/>
    <w:rsid w:val="005A3B9F"/>
    <w:rsid w:val="005A45D9"/>
    <w:rsid w:val="005A4650"/>
    <w:rsid w:val="005A6154"/>
    <w:rsid w:val="005B066F"/>
    <w:rsid w:val="005B0AB3"/>
    <w:rsid w:val="005B2168"/>
    <w:rsid w:val="005B29F1"/>
    <w:rsid w:val="005B3B49"/>
    <w:rsid w:val="005B56E6"/>
    <w:rsid w:val="005B7057"/>
    <w:rsid w:val="005B77AE"/>
    <w:rsid w:val="005B7D2E"/>
    <w:rsid w:val="005C1AAB"/>
    <w:rsid w:val="005C5708"/>
    <w:rsid w:val="005C5FA6"/>
    <w:rsid w:val="005C6437"/>
    <w:rsid w:val="005C6DA7"/>
    <w:rsid w:val="005C7658"/>
    <w:rsid w:val="005C7AE4"/>
    <w:rsid w:val="005D038A"/>
    <w:rsid w:val="005D135A"/>
    <w:rsid w:val="005D2671"/>
    <w:rsid w:val="005D39D1"/>
    <w:rsid w:val="005D3B1A"/>
    <w:rsid w:val="005D40D1"/>
    <w:rsid w:val="005D4AED"/>
    <w:rsid w:val="005D7CD9"/>
    <w:rsid w:val="005E0054"/>
    <w:rsid w:val="005E15CA"/>
    <w:rsid w:val="005E19E7"/>
    <w:rsid w:val="005E3C99"/>
    <w:rsid w:val="005E4E32"/>
    <w:rsid w:val="005E4F52"/>
    <w:rsid w:val="005E65A1"/>
    <w:rsid w:val="005E73D5"/>
    <w:rsid w:val="005F2A18"/>
    <w:rsid w:val="005F5A12"/>
    <w:rsid w:val="00600803"/>
    <w:rsid w:val="00600A62"/>
    <w:rsid w:val="00602247"/>
    <w:rsid w:val="00606776"/>
    <w:rsid w:val="00607BA5"/>
    <w:rsid w:val="00610549"/>
    <w:rsid w:val="00610EB5"/>
    <w:rsid w:val="00611634"/>
    <w:rsid w:val="00613E0C"/>
    <w:rsid w:val="006152B2"/>
    <w:rsid w:val="00616153"/>
    <w:rsid w:val="0061621F"/>
    <w:rsid w:val="00616F21"/>
    <w:rsid w:val="006204DD"/>
    <w:rsid w:val="00623974"/>
    <w:rsid w:val="00623EF1"/>
    <w:rsid w:val="0062724E"/>
    <w:rsid w:val="006272B5"/>
    <w:rsid w:val="0063003B"/>
    <w:rsid w:val="006305D1"/>
    <w:rsid w:val="0063341B"/>
    <w:rsid w:val="006340B6"/>
    <w:rsid w:val="0063634F"/>
    <w:rsid w:val="00640382"/>
    <w:rsid w:val="00641D08"/>
    <w:rsid w:val="006441CA"/>
    <w:rsid w:val="0064519B"/>
    <w:rsid w:val="00651EFF"/>
    <w:rsid w:val="00654154"/>
    <w:rsid w:val="00654B01"/>
    <w:rsid w:val="00654B77"/>
    <w:rsid w:val="00654D99"/>
    <w:rsid w:val="00655C5B"/>
    <w:rsid w:val="006565E5"/>
    <w:rsid w:val="00664CBE"/>
    <w:rsid w:val="00666492"/>
    <w:rsid w:val="006669CC"/>
    <w:rsid w:val="00666BB4"/>
    <w:rsid w:val="00666CC6"/>
    <w:rsid w:val="00667A28"/>
    <w:rsid w:val="00667F8B"/>
    <w:rsid w:val="00672F78"/>
    <w:rsid w:val="00674D19"/>
    <w:rsid w:val="00680F90"/>
    <w:rsid w:val="006813C2"/>
    <w:rsid w:val="006819DD"/>
    <w:rsid w:val="00681BEE"/>
    <w:rsid w:val="00683EFC"/>
    <w:rsid w:val="00687B3D"/>
    <w:rsid w:val="00690E34"/>
    <w:rsid w:val="00691316"/>
    <w:rsid w:val="0069134D"/>
    <w:rsid w:val="006937D8"/>
    <w:rsid w:val="006963EC"/>
    <w:rsid w:val="006966BD"/>
    <w:rsid w:val="006A1623"/>
    <w:rsid w:val="006A1631"/>
    <w:rsid w:val="006A4020"/>
    <w:rsid w:val="006A6443"/>
    <w:rsid w:val="006B0294"/>
    <w:rsid w:val="006B25A1"/>
    <w:rsid w:val="006B313B"/>
    <w:rsid w:val="006B387E"/>
    <w:rsid w:val="006B6344"/>
    <w:rsid w:val="006B71AC"/>
    <w:rsid w:val="006C184F"/>
    <w:rsid w:val="006C2034"/>
    <w:rsid w:val="006C3B5C"/>
    <w:rsid w:val="006C45E6"/>
    <w:rsid w:val="006C53F7"/>
    <w:rsid w:val="006C6164"/>
    <w:rsid w:val="006C7834"/>
    <w:rsid w:val="006D0DFB"/>
    <w:rsid w:val="006D1305"/>
    <w:rsid w:val="006D2FF8"/>
    <w:rsid w:val="006D3BCE"/>
    <w:rsid w:val="006D3F52"/>
    <w:rsid w:val="006D4442"/>
    <w:rsid w:val="006D4742"/>
    <w:rsid w:val="006D58B8"/>
    <w:rsid w:val="006D63B7"/>
    <w:rsid w:val="006D64C2"/>
    <w:rsid w:val="006D6749"/>
    <w:rsid w:val="006D6CDA"/>
    <w:rsid w:val="006E0029"/>
    <w:rsid w:val="006E1253"/>
    <w:rsid w:val="006E23FC"/>
    <w:rsid w:val="006E32B4"/>
    <w:rsid w:val="006E34FD"/>
    <w:rsid w:val="006E4177"/>
    <w:rsid w:val="006E48AD"/>
    <w:rsid w:val="006E4A30"/>
    <w:rsid w:val="006E59DA"/>
    <w:rsid w:val="006F3526"/>
    <w:rsid w:val="006F56B2"/>
    <w:rsid w:val="006F5929"/>
    <w:rsid w:val="007000CB"/>
    <w:rsid w:val="00703C4B"/>
    <w:rsid w:val="00703D63"/>
    <w:rsid w:val="007054D9"/>
    <w:rsid w:val="00707001"/>
    <w:rsid w:val="007070F1"/>
    <w:rsid w:val="00707FD3"/>
    <w:rsid w:val="0071131E"/>
    <w:rsid w:val="00711F3A"/>
    <w:rsid w:val="00712394"/>
    <w:rsid w:val="00714033"/>
    <w:rsid w:val="007148C4"/>
    <w:rsid w:val="00714B62"/>
    <w:rsid w:val="007157F3"/>
    <w:rsid w:val="00715883"/>
    <w:rsid w:val="00716528"/>
    <w:rsid w:val="007208A4"/>
    <w:rsid w:val="007211A9"/>
    <w:rsid w:val="00721DD9"/>
    <w:rsid w:val="007220BE"/>
    <w:rsid w:val="007228F7"/>
    <w:rsid w:val="00723986"/>
    <w:rsid w:val="0072419F"/>
    <w:rsid w:val="0072605D"/>
    <w:rsid w:val="007262DF"/>
    <w:rsid w:val="0072674A"/>
    <w:rsid w:val="00726EC5"/>
    <w:rsid w:val="007306AE"/>
    <w:rsid w:val="00736DF9"/>
    <w:rsid w:val="007402EA"/>
    <w:rsid w:val="00741B8D"/>
    <w:rsid w:val="00742810"/>
    <w:rsid w:val="00747A0F"/>
    <w:rsid w:val="00747C88"/>
    <w:rsid w:val="00751983"/>
    <w:rsid w:val="00751BE9"/>
    <w:rsid w:val="0075255A"/>
    <w:rsid w:val="00753151"/>
    <w:rsid w:val="00754804"/>
    <w:rsid w:val="00756EC4"/>
    <w:rsid w:val="007611C0"/>
    <w:rsid w:val="007626CE"/>
    <w:rsid w:val="00762A49"/>
    <w:rsid w:val="00762C5D"/>
    <w:rsid w:val="00762CF4"/>
    <w:rsid w:val="00764407"/>
    <w:rsid w:val="007652C8"/>
    <w:rsid w:val="007660D0"/>
    <w:rsid w:val="0076619E"/>
    <w:rsid w:val="007727D0"/>
    <w:rsid w:val="007748E8"/>
    <w:rsid w:val="0077670A"/>
    <w:rsid w:val="007778DE"/>
    <w:rsid w:val="007779B9"/>
    <w:rsid w:val="00790E03"/>
    <w:rsid w:val="00792804"/>
    <w:rsid w:val="00792F54"/>
    <w:rsid w:val="00793DD4"/>
    <w:rsid w:val="00795230"/>
    <w:rsid w:val="00796AD5"/>
    <w:rsid w:val="007A245C"/>
    <w:rsid w:val="007A3474"/>
    <w:rsid w:val="007A3E9A"/>
    <w:rsid w:val="007A53D4"/>
    <w:rsid w:val="007A6BCE"/>
    <w:rsid w:val="007B0A26"/>
    <w:rsid w:val="007B163E"/>
    <w:rsid w:val="007B4941"/>
    <w:rsid w:val="007B4A2E"/>
    <w:rsid w:val="007C190C"/>
    <w:rsid w:val="007C202D"/>
    <w:rsid w:val="007C2BF0"/>
    <w:rsid w:val="007C3E09"/>
    <w:rsid w:val="007C4458"/>
    <w:rsid w:val="007C4591"/>
    <w:rsid w:val="007C4669"/>
    <w:rsid w:val="007C6757"/>
    <w:rsid w:val="007C690B"/>
    <w:rsid w:val="007C6963"/>
    <w:rsid w:val="007C6A0F"/>
    <w:rsid w:val="007D0BBE"/>
    <w:rsid w:val="007D1FEA"/>
    <w:rsid w:val="007D32D8"/>
    <w:rsid w:val="007D5132"/>
    <w:rsid w:val="007D6581"/>
    <w:rsid w:val="007D7809"/>
    <w:rsid w:val="007E1505"/>
    <w:rsid w:val="007E4C63"/>
    <w:rsid w:val="007E5B6A"/>
    <w:rsid w:val="007E738E"/>
    <w:rsid w:val="007F02A1"/>
    <w:rsid w:val="007F275E"/>
    <w:rsid w:val="007F3435"/>
    <w:rsid w:val="007F3907"/>
    <w:rsid w:val="007F45B4"/>
    <w:rsid w:val="007F613F"/>
    <w:rsid w:val="00802681"/>
    <w:rsid w:val="00802CCC"/>
    <w:rsid w:val="00806889"/>
    <w:rsid w:val="00806D7D"/>
    <w:rsid w:val="0080701E"/>
    <w:rsid w:val="0081014B"/>
    <w:rsid w:val="00811A15"/>
    <w:rsid w:val="00812EDE"/>
    <w:rsid w:val="00813424"/>
    <w:rsid w:val="00813524"/>
    <w:rsid w:val="00813DA5"/>
    <w:rsid w:val="008142BE"/>
    <w:rsid w:val="0081457C"/>
    <w:rsid w:val="00816B03"/>
    <w:rsid w:val="00817A24"/>
    <w:rsid w:val="00817DE6"/>
    <w:rsid w:val="00822171"/>
    <w:rsid w:val="008224CC"/>
    <w:rsid w:val="00822522"/>
    <w:rsid w:val="00822CB3"/>
    <w:rsid w:val="0082331D"/>
    <w:rsid w:val="00823BA0"/>
    <w:rsid w:val="008242D0"/>
    <w:rsid w:val="00825D9A"/>
    <w:rsid w:val="00825FC8"/>
    <w:rsid w:val="008277AA"/>
    <w:rsid w:val="0082798E"/>
    <w:rsid w:val="008301EA"/>
    <w:rsid w:val="00831A89"/>
    <w:rsid w:val="00833DE5"/>
    <w:rsid w:val="008373FE"/>
    <w:rsid w:val="00837B0F"/>
    <w:rsid w:val="0084276D"/>
    <w:rsid w:val="00842E7C"/>
    <w:rsid w:val="00844AB8"/>
    <w:rsid w:val="008457F9"/>
    <w:rsid w:val="00847527"/>
    <w:rsid w:val="00851650"/>
    <w:rsid w:val="00852943"/>
    <w:rsid w:val="0085572D"/>
    <w:rsid w:val="008612EB"/>
    <w:rsid w:val="00861A39"/>
    <w:rsid w:val="00863AF1"/>
    <w:rsid w:val="008653CA"/>
    <w:rsid w:val="0086660B"/>
    <w:rsid w:val="00870B1C"/>
    <w:rsid w:val="0087119E"/>
    <w:rsid w:val="008742DD"/>
    <w:rsid w:val="0087436F"/>
    <w:rsid w:val="008767BB"/>
    <w:rsid w:val="008768F4"/>
    <w:rsid w:val="008776AA"/>
    <w:rsid w:val="00881ED5"/>
    <w:rsid w:val="00882521"/>
    <w:rsid w:val="008909F0"/>
    <w:rsid w:val="00893A1C"/>
    <w:rsid w:val="00896284"/>
    <w:rsid w:val="00896999"/>
    <w:rsid w:val="00896D7F"/>
    <w:rsid w:val="0089759B"/>
    <w:rsid w:val="00897D47"/>
    <w:rsid w:val="008A15FB"/>
    <w:rsid w:val="008A1DA0"/>
    <w:rsid w:val="008A4914"/>
    <w:rsid w:val="008A5352"/>
    <w:rsid w:val="008B0FA4"/>
    <w:rsid w:val="008B188C"/>
    <w:rsid w:val="008B37CF"/>
    <w:rsid w:val="008B383C"/>
    <w:rsid w:val="008B3B26"/>
    <w:rsid w:val="008B4331"/>
    <w:rsid w:val="008B4917"/>
    <w:rsid w:val="008B585B"/>
    <w:rsid w:val="008B7C6C"/>
    <w:rsid w:val="008C0329"/>
    <w:rsid w:val="008C09FA"/>
    <w:rsid w:val="008C0ECB"/>
    <w:rsid w:val="008C3482"/>
    <w:rsid w:val="008C56B1"/>
    <w:rsid w:val="008C6847"/>
    <w:rsid w:val="008D0341"/>
    <w:rsid w:val="008D0DAC"/>
    <w:rsid w:val="008D0E9A"/>
    <w:rsid w:val="008D171F"/>
    <w:rsid w:val="008D3428"/>
    <w:rsid w:val="008D622B"/>
    <w:rsid w:val="008D6543"/>
    <w:rsid w:val="008D66CD"/>
    <w:rsid w:val="008D6931"/>
    <w:rsid w:val="008D6A29"/>
    <w:rsid w:val="008D6D0C"/>
    <w:rsid w:val="008D6D7F"/>
    <w:rsid w:val="008E16C0"/>
    <w:rsid w:val="008E2E8E"/>
    <w:rsid w:val="008E4E64"/>
    <w:rsid w:val="008F0754"/>
    <w:rsid w:val="008F1BB1"/>
    <w:rsid w:val="008F1D07"/>
    <w:rsid w:val="008F282C"/>
    <w:rsid w:val="008F2BD1"/>
    <w:rsid w:val="008F542A"/>
    <w:rsid w:val="008F55EE"/>
    <w:rsid w:val="009009EB"/>
    <w:rsid w:val="009012B8"/>
    <w:rsid w:val="0090469F"/>
    <w:rsid w:val="00905AB6"/>
    <w:rsid w:val="00906493"/>
    <w:rsid w:val="0091405C"/>
    <w:rsid w:val="00914132"/>
    <w:rsid w:val="0091647E"/>
    <w:rsid w:val="00917ECA"/>
    <w:rsid w:val="00923801"/>
    <w:rsid w:val="00924CE0"/>
    <w:rsid w:val="0092599E"/>
    <w:rsid w:val="009301E7"/>
    <w:rsid w:val="00930404"/>
    <w:rsid w:val="00931733"/>
    <w:rsid w:val="00932358"/>
    <w:rsid w:val="0093458B"/>
    <w:rsid w:val="00934E5E"/>
    <w:rsid w:val="009350FD"/>
    <w:rsid w:val="009355D2"/>
    <w:rsid w:val="009356F9"/>
    <w:rsid w:val="0093572C"/>
    <w:rsid w:val="0093607F"/>
    <w:rsid w:val="00936B77"/>
    <w:rsid w:val="00937EF9"/>
    <w:rsid w:val="00941DF0"/>
    <w:rsid w:val="00943D4A"/>
    <w:rsid w:val="00950785"/>
    <w:rsid w:val="009508B3"/>
    <w:rsid w:val="00952082"/>
    <w:rsid w:val="00955E7A"/>
    <w:rsid w:val="0095666F"/>
    <w:rsid w:val="00960886"/>
    <w:rsid w:val="00962726"/>
    <w:rsid w:val="00962CC7"/>
    <w:rsid w:val="00962F46"/>
    <w:rsid w:val="00964F95"/>
    <w:rsid w:val="00965BCE"/>
    <w:rsid w:val="00966E34"/>
    <w:rsid w:val="00967AEC"/>
    <w:rsid w:val="00974056"/>
    <w:rsid w:val="0097590F"/>
    <w:rsid w:val="0097658E"/>
    <w:rsid w:val="00976C93"/>
    <w:rsid w:val="00977956"/>
    <w:rsid w:val="00984876"/>
    <w:rsid w:val="009866EF"/>
    <w:rsid w:val="00986C71"/>
    <w:rsid w:val="00986F69"/>
    <w:rsid w:val="00987BEA"/>
    <w:rsid w:val="00992C67"/>
    <w:rsid w:val="0099330A"/>
    <w:rsid w:val="00993464"/>
    <w:rsid w:val="009934BD"/>
    <w:rsid w:val="00994065"/>
    <w:rsid w:val="00996BDD"/>
    <w:rsid w:val="009A080F"/>
    <w:rsid w:val="009A1AB0"/>
    <w:rsid w:val="009A30B7"/>
    <w:rsid w:val="009A378C"/>
    <w:rsid w:val="009A5030"/>
    <w:rsid w:val="009A68AE"/>
    <w:rsid w:val="009A706F"/>
    <w:rsid w:val="009A7B10"/>
    <w:rsid w:val="009B00F9"/>
    <w:rsid w:val="009B01C4"/>
    <w:rsid w:val="009B030B"/>
    <w:rsid w:val="009B0BFF"/>
    <w:rsid w:val="009B1378"/>
    <w:rsid w:val="009B31C8"/>
    <w:rsid w:val="009B38C8"/>
    <w:rsid w:val="009B455E"/>
    <w:rsid w:val="009B4D37"/>
    <w:rsid w:val="009B5FED"/>
    <w:rsid w:val="009B66D4"/>
    <w:rsid w:val="009B6F6B"/>
    <w:rsid w:val="009B799D"/>
    <w:rsid w:val="009C1B35"/>
    <w:rsid w:val="009C2464"/>
    <w:rsid w:val="009C39DF"/>
    <w:rsid w:val="009C603F"/>
    <w:rsid w:val="009C6507"/>
    <w:rsid w:val="009C7155"/>
    <w:rsid w:val="009D0638"/>
    <w:rsid w:val="009D1399"/>
    <w:rsid w:val="009D257B"/>
    <w:rsid w:val="009D27A0"/>
    <w:rsid w:val="009D2CBE"/>
    <w:rsid w:val="009D508D"/>
    <w:rsid w:val="009D53FD"/>
    <w:rsid w:val="009D66A8"/>
    <w:rsid w:val="009E228C"/>
    <w:rsid w:val="009E281B"/>
    <w:rsid w:val="009E2F0F"/>
    <w:rsid w:val="009E3791"/>
    <w:rsid w:val="009E4BEB"/>
    <w:rsid w:val="009E5A6B"/>
    <w:rsid w:val="009E7F1E"/>
    <w:rsid w:val="009F1477"/>
    <w:rsid w:val="009F2719"/>
    <w:rsid w:val="009F3069"/>
    <w:rsid w:val="009F3BE2"/>
    <w:rsid w:val="009F3C63"/>
    <w:rsid w:val="009F606B"/>
    <w:rsid w:val="009F7311"/>
    <w:rsid w:val="00A00DF2"/>
    <w:rsid w:val="00A01498"/>
    <w:rsid w:val="00A01A96"/>
    <w:rsid w:val="00A027F5"/>
    <w:rsid w:val="00A04171"/>
    <w:rsid w:val="00A05FC7"/>
    <w:rsid w:val="00A07BEA"/>
    <w:rsid w:val="00A07C0B"/>
    <w:rsid w:val="00A10AC5"/>
    <w:rsid w:val="00A228B0"/>
    <w:rsid w:val="00A2373A"/>
    <w:rsid w:val="00A24150"/>
    <w:rsid w:val="00A27212"/>
    <w:rsid w:val="00A305E4"/>
    <w:rsid w:val="00A336E2"/>
    <w:rsid w:val="00A34B2C"/>
    <w:rsid w:val="00A36A6B"/>
    <w:rsid w:val="00A40E83"/>
    <w:rsid w:val="00A412FF"/>
    <w:rsid w:val="00A42C27"/>
    <w:rsid w:val="00A450CA"/>
    <w:rsid w:val="00A50AB1"/>
    <w:rsid w:val="00A51AAE"/>
    <w:rsid w:val="00A53486"/>
    <w:rsid w:val="00A5411A"/>
    <w:rsid w:val="00A54609"/>
    <w:rsid w:val="00A56DCF"/>
    <w:rsid w:val="00A57847"/>
    <w:rsid w:val="00A604B7"/>
    <w:rsid w:val="00A61B1F"/>
    <w:rsid w:val="00A61EC7"/>
    <w:rsid w:val="00A62565"/>
    <w:rsid w:val="00A627DB"/>
    <w:rsid w:val="00A62AFC"/>
    <w:rsid w:val="00A650D2"/>
    <w:rsid w:val="00A65CE8"/>
    <w:rsid w:val="00A67A03"/>
    <w:rsid w:val="00A708CE"/>
    <w:rsid w:val="00A71A66"/>
    <w:rsid w:val="00A7259D"/>
    <w:rsid w:val="00A736DB"/>
    <w:rsid w:val="00A743CA"/>
    <w:rsid w:val="00A74939"/>
    <w:rsid w:val="00A74A49"/>
    <w:rsid w:val="00A757D8"/>
    <w:rsid w:val="00A757F9"/>
    <w:rsid w:val="00A76FFF"/>
    <w:rsid w:val="00A802BE"/>
    <w:rsid w:val="00A826E7"/>
    <w:rsid w:val="00A915C0"/>
    <w:rsid w:val="00A91B6B"/>
    <w:rsid w:val="00A943BF"/>
    <w:rsid w:val="00A94866"/>
    <w:rsid w:val="00A95102"/>
    <w:rsid w:val="00A97E04"/>
    <w:rsid w:val="00AA23FC"/>
    <w:rsid w:val="00AA3409"/>
    <w:rsid w:val="00AA4D72"/>
    <w:rsid w:val="00AA5D3E"/>
    <w:rsid w:val="00AA7AC7"/>
    <w:rsid w:val="00AB02A6"/>
    <w:rsid w:val="00AB2598"/>
    <w:rsid w:val="00AB2880"/>
    <w:rsid w:val="00AB7D2A"/>
    <w:rsid w:val="00AB7DD3"/>
    <w:rsid w:val="00AB7E34"/>
    <w:rsid w:val="00AB7EE8"/>
    <w:rsid w:val="00AC2C21"/>
    <w:rsid w:val="00AC36E1"/>
    <w:rsid w:val="00AC4698"/>
    <w:rsid w:val="00AC684A"/>
    <w:rsid w:val="00AD0D61"/>
    <w:rsid w:val="00AD1337"/>
    <w:rsid w:val="00AD19C6"/>
    <w:rsid w:val="00AD1E92"/>
    <w:rsid w:val="00AD1F92"/>
    <w:rsid w:val="00AD25A3"/>
    <w:rsid w:val="00AD34A7"/>
    <w:rsid w:val="00AD39AF"/>
    <w:rsid w:val="00AD4C5F"/>
    <w:rsid w:val="00AD56F0"/>
    <w:rsid w:val="00AD58CD"/>
    <w:rsid w:val="00AD7EEB"/>
    <w:rsid w:val="00AE050C"/>
    <w:rsid w:val="00AE0C7F"/>
    <w:rsid w:val="00AE28BD"/>
    <w:rsid w:val="00AE29E6"/>
    <w:rsid w:val="00AE30CE"/>
    <w:rsid w:val="00AE4945"/>
    <w:rsid w:val="00AE5496"/>
    <w:rsid w:val="00AE5ABE"/>
    <w:rsid w:val="00AE637D"/>
    <w:rsid w:val="00AE6777"/>
    <w:rsid w:val="00AE7BB6"/>
    <w:rsid w:val="00AF026C"/>
    <w:rsid w:val="00AF12E1"/>
    <w:rsid w:val="00AF1F58"/>
    <w:rsid w:val="00AF25FF"/>
    <w:rsid w:val="00AF3CBA"/>
    <w:rsid w:val="00AF3CE4"/>
    <w:rsid w:val="00AF5A15"/>
    <w:rsid w:val="00AF69A2"/>
    <w:rsid w:val="00AF7094"/>
    <w:rsid w:val="00B0245D"/>
    <w:rsid w:val="00B040C7"/>
    <w:rsid w:val="00B061D1"/>
    <w:rsid w:val="00B07C43"/>
    <w:rsid w:val="00B101DB"/>
    <w:rsid w:val="00B1152A"/>
    <w:rsid w:val="00B148B7"/>
    <w:rsid w:val="00B15DF8"/>
    <w:rsid w:val="00B16681"/>
    <w:rsid w:val="00B16724"/>
    <w:rsid w:val="00B227B5"/>
    <w:rsid w:val="00B227F0"/>
    <w:rsid w:val="00B22CFC"/>
    <w:rsid w:val="00B2313A"/>
    <w:rsid w:val="00B2372A"/>
    <w:rsid w:val="00B2394C"/>
    <w:rsid w:val="00B24A57"/>
    <w:rsid w:val="00B2537A"/>
    <w:rsid w:val="00B258C1"/>
    <w:rsid w:val="00B3063D"/>
    <w:rsid w:val="00B31A8D"/>
    <w:rsid w:val="00B34278"/>
    <w:rsid w:val="00B3432F"/>
    <w:rsid w:val="00B34A2F"/>
    <w:rsid w:val="00B350C1"/>
    <w:rsid w:val="00B35A05"/>
    <w:rsid w:val="00B37A7A"/>
    <w:rsid w:val="00B409F8"/>
    <w:rsid w:val="00B42B6A"/>
    <w:rsid w:val="00B43C0B"/>
    <w:rsid w:val="00B43D58"/>
    <w:rsid w:val="00B451C9"/>
    <w:rsid w:val="00B4682E"/>
    <w:rsid w:val="00B51775"/>
    <w:rsid w:val="00B51E56"/>
    <w:rsid w:val="00B54937"/>
    <w:rsid w:val="00B553E9"/>
    <w:rsid w:val="00B557A7"/>
    <w:rsid w:val="00B571DB"/>
    <w:rsid w:val="00B5776E"/>
    <w:rsid w:val="00B609C3"/>
    <w:rsid w:val="00B6128E"/>
    <w:rsid w:val="00B71018"/>
    <w:rsid w:val="00B71741"/>
    <w:rsid w:val="00B727BD"/>
    <w:rsid w:val="00B73310"/>
    <w:rsid w:val="00B811EE"/>
    <w:rsid w:val="00B829E4"/>
    <w:rsid w:val="00B83FFA"/>
    <w:rsid w:val="00B842F9"/>
    <w:rsid w:val="00B854F1"/>
    <w:rsid w:val="00B9002F"/>
    <w:rsid w:val="00B9052E"/>
    <w:rsid w:val="00B91A9D"/>
    <w:rsid w:val="00B93317"/>
    <w:rsid w:val="00B9367D"/>
    <w:rsid w:val="00B9395E"/>
    <w:rsid w:val="00B9428D"/>
    <w:rsid w:val="00B9533E"/>
    <w:rsid w:val="00B95648"/>
    <w:rsid w:val="00B956B1"/>
    <w:rsid w:val="00B97E78"/>
    <w:rsid w:val="00BA2A4B"/>
    <w:rsid w:val="00BA2DD9"/>
    <w:rsid w:val="00BA3A06"/>
    <w:rsid w:val="00BA4878"/>
    <w:rsid w:val="00BA6FA1"/>
    <w:rsid w:val="00BA734A"/>
    <w:rsid w:val="00BA7CA9"/>
    <w:rsid w:val="00BB35BD"/>
    <w:rsid w:val="00BB5D75"/>
    <w:rsid w:val="00BC0501"/>
    <w:rsid w:val="00BC1941"/>
    <w:rsid w:val="00BC2AFC"/>
    <w:rsid w:val="00BC33AF"/>
    <w:rsid w:val="00BC6473"/>
    <w:rsid w:val="00BC6948"/>
    <w:rsid w:val="00BD0CDC"/>
    <w:rsid w:val="00BD2B2D"/>
    <w:rsid w:val="00BD4CBE"/>
    <w:rsid w:val="00BD54D6"/>
    <w:rsid w:val="00BE0435"/>
    <w:rsid w:val="00BE30B8"/>
    <w:rsid w:val="00BE408B"/>
    <w:rsid w:val="00BE40FF"/>
    <w:rsid w:val="00BE464C"/>
    <w:rsid w:val="00BE5D6D"/>
    <w:rsid w:val="00BE653F"/>
    <w:rsid w:val="00BE6CE4"/>
    <w:rsid w:val="00BE79A0"/>
    <w:rsid w:val="00BF2BFA"/>
    <w:rsid w:val="00BF3654"/>
    <w:rsid w:val="00BF471B"/>
    <w:rsid w:val="00BF6E53"/>
    <w:rsid w:val="00BF743D"/>
    <w:rsid w:val="00BF7B64"/>
    <w:rsid w:val="00C004DE"/>
    <w:rsid w:val="00C01600"/>
    <w:rsid w:val="00C016A1"/>
    <w:rsid w:val="00C07D12"/>
    <w:rsid w:val="00C113DE"/>
    <w:rsid w:val="00C14CD8"/>
    <w:rsid w:val="00C172F1"/>
    <w:rsid w:val="00C174EE"/>
    <w:rsid w:val="00C17C00"/>
    <w:rsid w:val="00C215D4"/>
    <w:rsid w:val="00C23096"/>
    <w:rsid w:val="00C23824"/>
    <w:rsid w:val="00C23C16"/>
    <w:rsid w:val="00C27FA4"/>
    <w:rsid w:val="00C31321"/>
    <w:rsid w:val="00C31F93"/>
    <w:rsid w:val="00C32595"/>
    <w:rsid w:val="00C32F92"/>
    <w:rsid w:val="00C330CE"/>
    <w:rsid w:val="00C348DA"/>
    <w:rsid w:val="00C370C1"/>
    <w:rsid w:val="00C37114"/>
    <w:rsid w:val="00C404DF"/>
    <w:rsid w:val="00C40830"/>
    <w:rsid w:val="00C4137A"/>
    <w:rsid w:val="00C41DD7"/>
    <w:rsid w:val="00C42D71"/>
    <w:rsid w:val="00C430EA"/>
    <w:rsid w:val="00C439D4"/>
    <w:rsid w:val="00C4420C"/>
    <w:rsid w:val="00C44D31"/>
    <w:rsid w:val="00C4526E"/>
    <w:rsid w:val="00C47806"/>
    <w:rsid w:val="00C5196C"/>
    <w:rsid w:val="00C533CF"/>
    <w:rsid w:val="00C53726"/>
    <w:rsid w:val="00C53F8B"/>
    <w:rsid w:val="00C5462E"/>
    <w:rsid w:val="00C55D8E"/>
    <w:rsid w:val="00C600D7"/>
    <w:rsid w:val="00C62F3F"/>
    <w:rsid w:val="00C63B8C"/>
    <w:rsid w:val="00C66DDE"/>
    <w:rsid w:val="00C72B30"/>
    <w:rsid w:val="00C742FD"/>
    <w:rsid w:val="00C85464"/>
    <w:rsid w:val="00C86F2D"/>
    <w:rsid w:val="00C90BE0"/>
    <w:rsid w:val="00C91730"/>
    <w:rsid w:val="00C920EE"/>
    <w:rsid w:val="00C92949"/>
    <w:rsid w:val="00C94EC5"/>
    <w:rsid w:val="00C95113"/>
    <w:rsid w:val="00C9548C"/>
    <w:rsid w:val="00C95784"/>
    <w:rsid w:val="00C95BB2"/>
    <w:rsid w:val="00CA3297"/>
    <w:rsid w:val="00CA596C"/>
    <w:rsid w:val="00CA7B01"/>
    <w:rsid w:val="00CB1B4B"/>
    <w:rsid w:val="00CB3D6C"/>
    <w:rsid w:val="00CB43CB"/>
    <w:rsid w:val="00CB67ED"/>
    <w:rsid w:val="00CB68ED"/>
    <w:rsid w:val="00CB6964"/>
    <w:rsid w:val="00CB6E3F"/>
    <w:rsid w:val="00CB75C6"/>
    <w:rsid w:val="00CB7DB7"/>
    <w:rsid w:val="00CC01DD"/>
    <w:rsid w:val="00CC0A19"/>
    <w:rsid w:val="00CC0CB8"/>
    <w:rsid w:val="00CC0D83"/>
    <w:rsid w:val="00CC1A0A"/>
    <w:rsid w:val="00CC70B9"/>
    <w:rsid w:val="00CC7226"/>
    <w:rsid w:val="00CD4B16"/>
    <w:rsid w:val="00CD739E"/>
    <w:rsid w:val="00CE01E3"/>
    <w:rsid w:val="00CE06D8"/>
    <w:rsid w:val="00CE3AD2"/>
    <w:rsid w:val="00CE4DE4"/>
    <w:rsid w:val="00CE5C37"/>
    <w:rsid w:val="00CE6032"/>
    <w:rsid w:val="00CE6849"/>
    <w:rsid w:val="00CF0C69"/>
    <w:rsid w:val="00CF1573"/>
    <w:rsid w:val="00CF1A50"/>
    <w:rsid w:val="00CF31B1"/>
    <w:rsid w:val="00CF3CCF"/>
    <w:rsid w:val="00CF5912"/>
    <w:rsid w:val="00CF6A78"/>
    <w:rsid w:val="00CF7615"/>
    <w:rsid w:val="00D0091F"/>
    <w:rsid w:val="00D02216"/>
    <w:rsid w:val="00D02B30"/>
    <w:rsid w:val="00D03A1D"/>
    <w:rsid w:val="00D04211"/>
    <w:rsid w:val="00D04275"/>
    <w:rsid w:val="00D103F1"/>
    <w:rsid w:val="00D10C36"/>
    <w:rsid w:val="00D126DB"/>
    <w:rsid w:val="00D12B20"/>
    <w:rsid w:val="00D14D22"/>
    <w:rsid w:val="00D14F2C"/>
    <w:rsid w:val="00D158F6"/>
    <w:rsid w:val="00D15BC4"/>
    <w:rsid w:val="00D15F64"/>
    <w:rsid w:val="00D166E0"/>
    <w:rsid w:val="00D17BB0"/>
    <w:rsid w:val="00D206D1"/>
    <w:rsid w:val="00D21CCA"/>
    <w:rsid w:val="00D22910"/>
    <w:rsid w:val="00D22FA2"/>
    <w:rsid w:val="00D2368A"/>
    <w:rsid w:val="00D26234"/>
    <w:rsid w:val="00D271D7"/>
    <w:rsid w:val="00D27DC3"/>
    <w:rsid w:val="00D311ED"/>
    <w:rsid w:val="00D32498"/>
    <w:rsid w:val="00D33D13"/>
    <w:rsid w:val="00D368AF"/>
    <w:rsid w:val="00D3705C"/>
    <w:rsid w:val="00D41FA2"/>
    <w:rsid w:val="00D42BDF"/>
    <w:rsid w:val="00D42FBD"/>
    <w:rsid w:val="00D442C2"/>
    <w:rsid w:val="00D445B7"/>
    <w:rsid w:val="00D45C98"/>
    <w:rsid w:val="00D46F04"/>
    <w:rsid w:val="00D50B39"/>
    <w:rsid w:val="00D50F8B"/>
    <w:rsid w:val="00D5175B"/>
    <w:rsid w:val="00D518E5"/>
    <w:rsid w:val="00D51C3B"/>
    <w:rsid w:val="00D52394"/>
    <w:rsid w:val="00D53FCD"/>
    <w:rsid w:val="00D557C9"/>
    <w:rsid w:val="00D55D1E"/>
    <w:rsid w:val="00D56D55"/>
    <w:rsid w:val="00D607E3"/>
    <w:rsid w:val="00D62457"/>
    <w:rsid w:val="00D64EAF"/>
    <w:rsid w:val="00D64F61"/>
    <w:rsid w:val="00D65CD6"/>
    <w:rsid w:val="00D65D5D"/>
    <w:rsid w:val="00D679BA"/>
    <w:rsid w:val="00D70521"/>
    <w:rsid w:val="00D71F0C"/>
    <w:rsid w:val="00D7264E"/>
    <w:rsid w:val="00D73194"/>
    <w:rsid w:val="00D73A05"/>
    <w:rsid w:val="00D75422"/>
    <w:rsid w:val="00D76C42"/>
    <w:rsid w:val="00D77DEA"/>
    <w:rsid w:val="00D803B7"/>
    <w:rsid w:val="00D81C0F"/>
    <w:rsid w:val="00D832C5"/>
    <w:rsid w:val="00D839FF"/>
    <w:rsid w:val="00D84A14"/>
    <w:rsid w:val="00D91931"/>
    <w:rsid w:val="00D94192"/>
    <w:rsid w:val="00D94715"/>
    <w:rsid w:val="00D97113"/>
    <w:rsid w:val="00DA153F"/>
    <w:rsid w:val="00DA173D"/>
    <w:rsid w:val="00DA363B"/>
    <w:rsid w:val="00DA3A14"/>
    <w:rsid w:val="00DA4123"/>
    <w:rsid w:val="00DA64EC"/>
    <w:rsid w:val="00DA7A76"/>
    <w:rsid w:val="00DB0149"/>
    <w:rsid w:val="00DB26E0"/>
    <w:rsid w:val="00DB2C39"/>
    <w:rsid w:val="00DB2CAD"/>
    <w:rsid w:val="00DB4B9F"/>
    <w:rsid w:val="00DB4D23"/>
    <w:rsid w:val="00DB4EDA"/>
    <w:rsid w:val="00DB53D9"/>
    <w:rsid w:val="00DB5604"/>
    <w:rsid w:val="00DB7367"/>
    <w:rsid w:val="00DC4015"/>
    <w:rsid w:val="00DC4195"/>
    <w:rsid w:val="00DC4748"/>
    <w:rsid w:val="00DC5B03"/>
    <w:rsid w:val="00DC5EE6"/>
    <w:rsid w:val="00DC7E1C"/>
    <w:rsid w:val="00DD2190"/>
    <w:rsid w:val="00DD2578"/>
    <w:rsid w:val="00DD310D"/>
    <w:rsid w:val="00DD5365"/>
    <w:rsid w:val="00DD590E"/>
    <w:rsid w:val="00DE0602"/>
    <w:rsid w:val="00DE14C4"/>
    <w:rsid w:val="00DE283E"/>
    <w:rsid w:val="00DE3C6B"/>
    <w:rsid w:val="00DE4329"/>
    <w:rsid w:val="00DE45EB"/>
    <w:rsid w:val="00DE64FA"/>
    <w:rsid w:val="00DE6F60"/>
    <w:rsid w:val="00DF1098"/>
    <w:rsid w:val="00DF2239"/>
    <w:rsid w:val="00DF31A1"/>
    <w:rsid w:val="00DF36D7"/>
    <w:rsid w:val="00DF568B"/>
    <w:rsid w:val="00DF7706"/>
    <w:rsid w:val="00DF7EE0"/>
    <w:rsid w:val="00E001AA"/>
    <w:rsid w:val="00E00846"/>
    <w:rsid w:val="00E06133"/>
    <w:rsid w:val="00E073C5"/>
    <w:rsid w:val="00E07887"/>
    <w:rsid w:val="00E07E49"/>
    <w:rsid w:val="00E128DA"/>
    <w:rsid w:val="00E16604"/>
    <w:rsid w:val="00E16EC7"/>
    <w:rsid w:val="00E20C84"/>
    <w:rsid w:val="00E21938"/>
    <w:rsid w:val="00E23863"/>
    <w:rsid w:val="00E24EC6"/>
    <w:rsid w:val="00E266F2"/>
    <w:rsid w:val="00E27F56"/>
    <w:rsid w:val="00E30290"/>
    <w:rsid w:val="00E31186"/>
    <w:rsid w:val="00E347AF"/>
    <w:rsid w:val="00E35ED3"/>
    <w:rsid w:val="00E40CF8"/>
    <w:rsid w:val="00E4147C"/>
    <w:rsid w:val="00E42517"/>
    <w:rsid w:val="00E42ADB"/>
    <w:rsid w:val="00E42EF2"/>
    <w:rsid w:val="00E4311B"/>
    <w:rsid w:val="00E44A90"/>
    <w:rsid w:val="00E4519C"/>
    <w:rsid w:val="00E50135"/>
    <w:rsid w:val="00E50136"/>
    <w:rsid w:val="00E5062E"/>
    <w:rsid w:val="00E51D96"/>
    <w:rsid w:val="00E52186"/>
    <w:rsid w:val="00E52423"/>
    <w:rsid w:val="00E54627"/>
    <w:rsid w:val="00E56E3E"/>
    <w:rsid w:val="00E60874"/>
    <w:rsid w:val="00E61081"/>
    <w:rsid w:val="00E61AB6"/>
    <w:rsid w:val="00E630BE"/>
    <w:rsid w:val="00E63371"/>
    <w:rsid w:val="00E652BE"/>
    <w:rsid w:val="00E6584F"/>
    <w:rsid w:val="00E65F4E"/>
    <w:rsid w:val="00E72FE7"/>
    <w:rsid w:val="00E74265"/>
    <w:rsid w:val="00E771DF"/>
    <w:rsid w:val="00E80823"/>
    <w:rsid w:val="00E823C4"/>
    <w:rsid w:val="00E8275B"/>
    <w:rsid w:val="00E83464"/>
    <w:rsid w:val="00E83833"/>
    <w:rsid w:val="00E83DA2"/>
    <w:rsid w:val="00E84B59"/>
    <w:rsid w:val="00E85ED3"/>
    <w:rsid w:val="00E87276"/>
    <w:rsid w:val="00E946A5"/>
    <w:rsid w:val="00E95CB2"/>
    <w:rsid w:val="00E95FDF"/>
    <w:rsid w:val="00E9617F"/>
    <w:rsid w:val="00EA25ED"/>
    <w:rsid w:val="00EA26DA"/>
    <w:rsid w:val="00EA38DC"/>
    <w:rsid w:val="00EA5DEE"/>
    <w:rsid w:val="00EA6472"/>
    <w:rsid w:val="00EB0851"/>
    <w:rsid w:val="00EB195A"/>
    <w:rsid w:val="00EB3043"/>
    <w:rsid w:val="00EB4B8E"/>
    <w:rsid w:val="00EB5084"/>
    <w:rsid w:val="00EB51CD"/>
    <w:rsid w:val="00EB693B"/>
    <w:rsid w:val="00EB6DCA"/>
    <w:rsid w:val="00EC05D7"/>
    <w:rsid w:val="00EC181C"/>
    <w:rsid w:val="00EC25BF"/>
    <w:rsid w:val="00EC33B2"/>
    <w:rsid w:val="00EC4692"/>
    <w:rsid w:val="00EC4ED5"/>
    <w:rsid w:val="00EC6129"/>
    <w:rsid w:val="00EC61FF"/>
    <w:rsid w:val="00ED091C"/>
    <w:rsid w:val="00ED1F8C"/>
    <w:rsid w:val="00ED2D90"/>
    <w:rsid w:val="00ED4B71"/>
    <w:rsid w:val="00ED6043"/>
    <w:rsid w:val="00ED7D21"/>
    <w:rsid w:val="00EE064F"/>
    <w:rsid w:val="00EE118B"/>
    <w:rsid w:val="00EE11C7"/>
    <w:rsid w:val="00EE1BAA"/>
    <w:rsid w:val="00EE48F2"/>
    <w:rsid w:val="00EE6CCE"/>
    <w:rsid w:val="00EE7121"/>
    <w:rsid w:val="00EE7BC9"/>
    <w:rsid w:val="00EE7E0D"/>
    <w:rsid w:val="00EF1B52"/>
    <w:rsid w:val="00EF79BA"/>
    <w:rsid w:val="00F01813"/>
    <w:rsid w:val="00F050C7"/>
    <w:rsid w:val="00F058AD"/>
    <w:rsid w:val="00F06DC2"/>
    <w:rsid w:val="00F07268"/>
    <w:rsid w:val="00F12368"/>
    <w:rsid w:val="00F125CA"/>
    <w:rsid w:val="00F13661"/>
    <w:rsid w:val="00F1404E"/>
    <w:rsid w:val="00F158E9"/>
    <w:rsid w:val="00F17B53"/>
    <w:rsid w:val="00F2004A"/>
    <w:rsid w:val="00F20F59"/>
    <w:rsid w:val="00F21ABF"/>
    <w:rsid w:val="00F24162"/>
    <w:rsid w:val="00F264AE"/>
    <w:rsid w:val="00F270A8"/>
    <w:rsid w:val="00F270D5"/>
    <w:rsid w:val="00F30E07"/>
    <w:rsid w:val="00F31B8F"/>
    <w:rsid w:val="00F31C0C"/>
    <w:rsid w:val="00F40799"/>
    <w:rsid w:val="00F41E0D"/>
    <w:rsid w:val="00F42067"/>
    <w:rsid w:val="00F42911"/>
    <w:rsid w:val="00F42C34"/>
    <w:rsid w:val="00F445DA"/>
    <w:rsid w:val="00F46B95"/>
    <w:rsid w:val="00F473CA"/>
    <w:rsid w:val="00F47425"/>
    <w:rsid w:val="00F50D13"/>
    <w:rsid w:val="00F50F58"/>
    <w:rsid w:val="00F524EA"/>
    <w:rsid w:val="00F5301C"/>
    <w:rsid w:val="00F535B3"/>
    <w:rsid w:val="00F53EA0"/>
    <w:rsid w:val="00F544C0"/>
    <w:rsid w:val="00F54724"/>
    <w:rsid w:val="00F55BDA"/>
    <w:rsid w:val="00F66759"/>
    <w:rsid w:val="00F67648"/>
    <w:rsid w:val="00F67CAD"/>
    <w:rsid w:val="00F70A69"/>
    <w:rsid w:val="00F71402"/>
    <w:rsid w:val="00F71406"/>
    <w:rsid w:val="00F746ED"/>
    <w:rsid w:val="00F75603"/>
    <w:rsid w:val="00F75CE3"/>
    <w:rsid w:val="00F77F7E"/>
    <w:rsid w:val="00F8067D"/>
    <w:rsid w:val="00F815F5"/>
    <w:rsid w:val="00F829F3"/>
    <w:rsid w:val="00F82AD9"/>
    <w:rsid w:val="00F85F8E"/>
    <w:rsid w:val="00F87CFD"/>
    <w:rsid w:val="00F9127D"/>
    <w:rsid w:val="00F95493"/>
    <w:rsid w:val="00F967E1"/>
    <w:rsid w:val="00FA1D97"/>
    <w:rsid w:val="00FA1DD6"/>
    <w:rsid w:val="00FA4CFC"/>
    <w:rsid w:val="00FA548D"/>
    <w:rsid w:val="00FA58D0"/>
    <w:rsid w:val="00FA6B60"/>
    <w:rsid w:val="00FB038F"/>
    <w:rsid w:val="00FB2169"/>
    <w:rsid w:val="00FB580B"/>
    <w:rsid w:val="00FB6675"/>
    <w:rsid w:val="00FB754A"/>
    <w:rsid w:val="00FB7AC3"/>
    <w:rsid w:val="00FC0297"/>
    <w:rsid w:val="00FC0FF1"/>
    <w:rsid w:val="00FC227E"/>
    <w:rsid w:val="00FC36BF"/>
    <w:rsid w:val="00FC5F54"/>
    <w:rsid w:val="00FD01A9"/>
    <w:rsid w:val="00FD0C67"/>
    <w:rsid w:val="00FD16C2"/>
    <w:rsid w:val="00FD2299"/>
    <w:rsid w:val="00FD2902"/>
    <w:rsid w:val="00FD37C4"/>
    <w:rsid w:val="00FD488F"/>
    <w:rsid w:val="00FD5F1B"/>
    <w:rsid w:val="00FE2884"/>
    <w:rsid w:val="00FE565D"/>
    <w:rsid w:val="00FE6747"/>
    <w:rsid w:val="00FE736F"/>
    <w:rsid w:val="00FE7A57"/>
    <w:rsid w:val="00FF203E"/>
    <w:rsid w:val="00FF4395"/>
    <w:rsid w:val="00FF44A6"/>
    <w:rsid w:val="00FF480F"/>
    <w:rsid w:val="00FF48A5"/>
    <w:rsid w:val="02A67305"/>
    <w:rsid w:val="03B5727A"/>
    <w:rsid w:val="04AD5BAB"/>
    <w:rsid w:val="04C21E95"/>
    <w:rsid w:val="05A66531"/>
    <w:rsid w:val="05F723DD"/>
    <w:rsid w:val="06D16238"/>
    <w:rsid w:val="0B9F6A0C"/>
    <w:rsid w:val="0C0051AC"/>
    <w:rsid w:val="0D0039AF"/>
    <w:rsid w:val="0D260167"/>
    <w:rsid w:val="0DF16C82"/>
    <w:rsid w:val="12710350"/>
    <w:rsid w:val="132B616F"/>
    <w:rsid w:val="13AC7EE3"/>
    <w:rsid w:val="13B61199"/>
    <w:rsid w:val="159440C7"/>
    <w:rsid w:val="15E8619A"/>
    <w:rsid w:val="181F66A2"/>
    <w:rsid w:val="186A10CC"/>
    <w:rsid w:val="1A484B0D"/>
    <w:rsid w:val="1A654346"/>
    <w:rsid w:val="1B0513E1"/>
    <w:rsid w:val="1BEE0D32"/>
    <w:rsid w:val="1E7332F3"/>
    <w:rsid w:val="1F042089"/>
    <w:rsid w:val="1FA63779"/>
    <w:rsid w:val="2146281C"/>
    <w:rsid w:val="22082B72"/>
    <w:rsid w:val="22234479"/>
    <w:rsid w:val="22C72413"/>
    <w:rsid w:val="234C6EFC"/>
    <w:rsid w:val="25810C2F"/>
    <w:rsid w:val="25DF3822"/>
    <w:rsid w:val="270877F8"/>
    <w:rsid w:val="298F2652"/>
    <w:rsid w:val="2A5D0744"/>
    <w:rsid w:val="2AC26CEB"/>
    <w:rsid w:val="2BBB3589"/>
    <w:rsid w:val="2D044E58"/>
    <w:rsid w:val="2D9C283F"/>
    <w:rsid w:val="2E2F5AA5"/>
    <w:rsid w:val="2FB93B69"/>
    <w:rsid w:val="3141365B"/>
    <w:rsid w:val="33104BA6"/>
    <w:rsid w:val="35F52871"/>
    <w:rsid w:val="365A1830"/>
    <w:rsid w:val="36B74A57"/>
    <w:rsid w:val="37505BC8"/>
    <w:rsid w:val="383661E2"/>
    <w:rsid w:val="384118F6"/>
    <w:rsid w:val="38F61034"/>
    <w:rsid w:val="39C2535E"/>
    <w:rsid w:val="3A255547"/>
    <w:rsid w:val="3B02564A"/>
    <w:rsid w:val="3CFA5AF9"/>
    <w:rsid w:val="3D7A407A"/>
    <w:rsid w:val="40602D05"/>
    <w:rsid w:val="41427867"/>
    <w:rsid w:val="41496835"/>
    <w:rsid w:val="42A87239"/>
    <w:rsid w:val="43E96A0E"/>
    <w:rsid w:val="44C22AC2"/>
    <w:rsid w:val="46911C07"/>
    <w:rsid w:val="47A348DB"/>
    <w:rsid w:val="489C5993"/>
    <w:rsid w:val="489C6E93"/>
    <w:rsid w:val="4B943A6D"/>
    <w:rsid w:val="4C163BAE"/>
    <w:rsid w:val="4C8907A0"/>
    <w:rsid w:val="4D32162E"/>
    <w:rsid w:val="4EB61EE8"/>
    <w:rsid w:val="4EE625F2"/>
    <w:rsid w:val="4F3A77D5"/>
    <w:rsid w:val="504D2FC4"/>
    <w:rsid w:val="50935FBB"/>
    <w:rsid w:val="58C9028E"/>
    <w:rsid w:val="5AED5365"/>
    <w:rsid w:val="5B372EAD"/>
    <w:rsid w:val="5CE92072"/>
    <w:rsid w:val="5D2933F0"/>
    <w:rsid w:val="5EA27EC8"/>
    <w:rsid w:val="5FCD5B1C"/>
    <w:rsid w:val="604B5FC0"/>
    <w:rsid w:val="621F7071"/>
    <w:rsid w:val="625366DC"/>
    <w:rsid w:val="63573E56"/>
    <w:rsid w:val="65F63F57"/>
    <w:rsid w:val="66FB295E"/>
    <w:rsid w:val="672338D8"/>
    <w:rsid w:val="678377C1"/>
    <w:rsid w:val="69CE53C5"/>
    <w:rsid w:val="69DA274F"/>
    <w:rsid w:val="6AD63237"/>
    <w:rsid w:val="6BA260F7"/>
    <w:rsid w:val="6DCC43B7"/>
    <w:rsid w:val="6E4D1B1F"/>
    <w:rsid w:val="6F6C25B7"/>
    <w:rsid w:val="716F75A8"/>
    <w:rsid w:val="71E3445F"/>
    <w:rsid w:val="733712EA"/>
    <w:rsid w:val="735C5EE2"/>
    <w:rsid w:val="737863E5"/>
    <w:rsid w:val="741C6D50"/>
    <w:rsid w:val="74C976B2"/>
    <w:rsid w:val="750A005E"/>
    <w:rsid w:val="75DF109A"/>
    <w:rsid w:val="770037CB"/>
    <w:rsid w:val="778641A4"/>
    <w:rsid w:val="77E46D7C"/>
    <w:rsid w:val="78E22507"/>
    <w:rsid w:val="7BDA022F"/>
    <w:rsid w:val="7E1D604E"/>
    <w:rsid w:val="7ED314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69"/>
    <w:qFormat/>
    <w:uiPriority w:val="0"/>
    <w:pPr>
      <w:keepNext/>
      <w:jc w:val="center"/>
      <w:outlineLvl w:val="0"/>
    </w:pPr>
    <w:rPr>
      <w:b/>
      <w:bCs/>
      <w:sz w:val="24"/>
      <w:szCs w:val="20"/>
    </w:rPr>
  </w:style>
  <w:style w:type="paragraph" w:styleId="6">
    <w:name w:val="heading 2"/>
    <w:basedOn w:val="1"/>
    <w:next w:val="1"/>
    <w:link w:val="138"/>
    <w:qFormat/>
    <w:uiPriority w:val="0"/>
    <w:pPr>
      <w:keepNext/>
      <w:keepLines/>
      <w:spacing w:line="360" w:lineRule="auto"/>
      <w:outlineLvl w:val="1"/>
    </w:pPr>
    <w:rPr>
      <w:rFonts w:ascii="Arial" w:hAnsi="Arial"/>
      <w:b/>
      <w:bCs/>
      <w:sz w:val="24"/>
      <w:szCs w:val="32"/>
    </w:rPr>
  </w:style>
  <w:style w:type="paragraph" w:styleId="7">
    <w:name w:val="heading 3"/>
    <w:basedOn w:val="1"/>
    <w:next w:val="1"/>
    <w:link w:val="97"/>
    <w:qFormat/>
    <w:uiPriority w:val="0"/>
    <w:pPr>
      <w:keepNext/>
      <w:keepLines/>
      <w:spacing w:before="260" w:after="260" w:line="416" w:lineRule="auto"/>
      <w:outlineLvl w:val="2"/>
    </w:pPr>
    <w:rPr>
      <w:b/>
      <w:bCs/>
      <w:sz w:val="32"/>
      <w:szCs w:val="32"/>
    </w:rPr>
  </w:style>
  <w:style w:type="paragraph" w:styleId="8">
    <w:name w:val="heading 4"/>
    <w:basedOn w:val="1"/>
    <w:next w:val="1"/>
    <w:link w:val="71"/>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9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10">
    <w:name w:val="heading 6"/>
    <w:basedOn w:val="1"/>
    <w:next w:val="1"/>
    <w:link w:val="152"/>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11">
    <w:name w:val="heading 7"/>
    <w:basedOn w:val="1"/>
    <w:next w:val="1"/>
    <w:link w:val="131"/>
    <w:qFormat/>
    <w:uiPriority w:val="0"/>
    <w:pPr>
      <w:keepNext/>
      <w:keepLines/>
      <w:adjustRightInd w:val="0"/>
      <w:spacing w:before="240" w:after="64" w:line="320" w:lineRule="atLeast"/>
      <w:jc w:val="left"/>
      <w:textAlignment w:val="baseline"/>
      <w:outlineLvl w:val="6"/>
    </w:pPr>
    <w:rPr>
      <w:b/>
      <w:bCs/>
      <w:kern w:val="0"/>
      <w:sz w:val="24"/>
    </w:rPr>
  </w:style>
  <w:style w:type="paragraph" w:styleId="12">
    <w:name w:val="heading 8"/>
    <w:basedOn w:val="1"/>
    <w:next w:val="1"/>
    <w:link w:val="160"/>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3">
    <w:name w:val="heading 9"/>
    <w:basedOn w:val="1"/>
    <w:next w:val="1"/>
    <w:link w:val="112"/>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21"/>
    <w:qFormat/>
    <w:uiPriority w:val="0"/>
    <w:pPr>
      <w:spacing w:after="120"/>
    </w:pPr>
    <w:rPr>
      <w:lang w:val="zh-CN"/>
    </w:rPr>
  </w:style>
  <w:style w:type="paragraph" w:styleId="3">
    <w:name w:val="List Continue"/>
    <w:basedOn w:val="1"/>
    <w:next w:val="4"/>
    <w:qFormat/>
    <w:uiPriority w:val="0"/>
    <w:pPr>
      <w:spacing w:after="120" w:line="360" w:lineRule="auto"/>
      <w:ind w:left="420" w:leftChars="200" w:firstLine="480" w:firstLineChars="200"/>
    </w:pPr>
    <w:rPr>
      <w:sz w:val="24"/>
      <w:szCs w:val="20"/>
      <w:lang w:val="zh-CN"/>
    </w:rPr>
  </w:style>
  <w:style w:type="paragraph" w:styleId="4">
    <w:name w:val="toc 1"/>
    <w:basedOn w:val="1"/>
    <w:next w:val="1"/>
    <w:qFormat/>
    <w:uiPriority w:val="39"/>
    <w:pPr>
      <w:adjustRightInd w:val="0"/>
      <w:snapToGrid w:val="0"/>
      <w:spacing w:line="360" w:lineRule="auto"/>
    </w:pPr>
    <w:rPr>
      <w:b/>
      <w:sz w:val="28"/>
    </w:rPr>
  </w:style>
  <w:style w:type="paragraph" w:styleId="14">
    <w:name w:val="toc 7"/>
    <w:basedOn w:val="1"/>
    <w:next w:val="1"/>
    <w:qFormat/>
    <w:uiPriority w:val="39"/>
    <w:pPr>
      <w:ind w:left="2520" w:leftChars="1200"/>
    </w:pPr>
    <w:rPr>
      <w:rFonts w:ascii="Calibri" w:hAnsi="Calibri"/>
      <w:szCs w:val="22"/>
    </w:rPr>
  </w:style>
  <w:style w:type="paragraph" w:styleId="15">
    <w:name w:val="Normal Indent"/>
    <w:basedOn w:val="1"/>
    <w:qFormat/>
    <w:uiPriority w:val="0"/>
    <w:pPr>
      <w:widowControl/>
      <w:ind w:firstLine="420"/>
      <w:jc w:val="left"/>
    </w:pPr>
    <w:rPr>
      <w:kern w:val="0"/>
      <w:sz w:val="20"/>
      <w:szCs w:val="20"/>
    </w:rPr>
  </w:style>
  <w:style w:type="paragraph" w:styleId="16">
    <w:name w:val="Document Map"/>
    <w:basedOn w:val="1"/>
    <w:link w:val="90"/>
    <w:semiHidden/>
    <w:qFormat/>
    <w:uiPriority w:val="0"/>
    <w:pPr>
      <w:shd w:val="clear" w:color="auto" w:fill="000080"/>
    </w:pPr>
    <w:rPr>
      <w:lang w:val="zh-CN"/>
    </w:rPr>
  </w:style>
  <w:style w:type="paragraph" w:styleId="17">
    <w:name w:val="annotation text"/>
    <w:basedOn w:val="1"/>
    <w:link w:val="141"/>
    <w:semiHidden/>
    <w:qFormat/>
    <w:uiPriority w:val="0"/>
    <w:pPr>
      <w:jc w:val="left"/>
    </w:pPr>
  </w:style>
  <w:style w:type="paragraph" w:styleId="18">
    <w:name w:val="Salutation"/>
    <w:basedOn w:val="1"/>
    <w:next w:val="1"/>
    <w:link w:val="108"/>
    <w:qFormat/>
    <w:uiPriority w:val="0"/>
    <w:rPr>
      <w:rFonts w:ascii="仿宋_GB2312" w:eastAsia="仿宋_GB2312"/>
      <w:sz w:val="24"/>
      <w:lang w:val="zh-CN"/>
    </w:rPr>
  </w:style>
  <w:style w:type="paragraph" w:styleId="19">
    <w:name w:val="Body Text 3"/>
    <w:basedOn w:val="1"/>
    <w:link w:val="124"/>
    <w:qFormat/>
    <w:uiPriority w:val="0"/>
    <w:pPr>
      <w:autoSpaceDE w:val="0"/>
      <w:autoSpaceDN w:val="0"/>
      <w:adjustRightInd w:val="0"/>
      <w:spacing w:line="410" w:lineRule="atLeast"/>
      <w:jc w:val="left"/>
    </w:pPr>
    <w:rPr>
      <w:rFonts w:ascii="宋体"/>
      <w:color w:val="000000"/>
      <w:kern w:val="0"/>
      <w:sz w:val="24"/>
      <w:szCs w:val="20"/>
      <w:lang w:val="zh-CN"/>
    </w:rPr>
  </w:style>
  <w:style w:type="paragraph" w:styleId="20">
    <w:name w:val="Body Text Indent"/>
    <w:basedOn w:val="1"/>
    <w:link w:val="106"/>
    <w:qFormat/>
    <w:uiPriority w:val="0"/>
    <w:pPr>
      <w:spacing w:after="120"/>
      <w:ind w:left="420" w:leftChars="200"/>
    </w:pPr>
  </w:style>
  <w:style w:type="paragraph" w:styleId="21">
    <w:name w:val="Block Text"/>
    <w:basedOn w:val="1"/>
    <w:qFormat/>
    <w:uiPriority w:val="0"/>
    <w:pPr>
      <w:ind w:left="1171" w:right="91" w:hanging="1080"/>
    </w:pPr>
    <w:rPr>
      <w:rFonts w:eastAsia="楷体_GB2312"/>
      <w:szCs w:val="20"/>
    </w:rPr>
  </w:style>
  <w:style w:type="paragraph" w:styleId="22">
    <w:name w:val="toc 5"/>
    <w:basedOn w:val="1"/>
    <w:next w:val="1"/>
    <w:qFormat/>
    <w:uiPriority w:val="39"/>
    <w:pPr>
      <w:ind w:left="1680" w:leftChars="800"/>
    </w:pPr>
    <w:rPr>
      <w:rFonts w:ascii="Calibri" w:hAnsi="Calibri"/>
      <w:szCs w:val="22"/>
    </w:rPr>
  </w:style>
  <w:style w:type="paragraph" w:styleId="23">
    <w:name w:val="toc 3"/>
    <w:basedOn w:val="1"/>
    <w:next w:val="1"/>
    <w:qFormat/>
    <w:uiPriority w:val="39"/>
    <w:pPr>
      <w:adjustRightInd w:val="0"/>
      <w:snapToGrid w:val="0"/>
      <w:spacing w:line="360" w:lineRule="auto"/>
      <w:ind w:left="400" w:leftChars="400"/>
    </w:pPr>
  </w:style>
  <w:style w:type="paragraph" w:styleId="24">
    <w:name w:val="Plain Text"/>
    <w:basedOn w:val="1"/>
    <w:link w:val="154"/>
    <w:qFormat/>
    <w:uiPriority w:val="0"/>
    <w:rPr>
      <w:rFonts w:ascii="宋体" w:hAnsi="Courier New" w:cs="Courier New"/>
      <w:szCs w:val="21"/>
    </w:rPr>
  </w:style>
  <w:style w:type="paragraph" w:styleId="25">
    <w:name w:val="toc 8"/>
    <w:basedOn w:val="1"/>
    <w:next w:val="1"/>
    <w:qFormat/>
    <w:uiPriority w:val="39"/>
    <w:pPr>
      <w:ind w:left="2940" w:leftChars="1400"/>
    </w:pPr>
    <w:rPr>
      <w:rFonts w:ascii="Calibri" w:hAnsi="Calibri"/>
      <w:szCs w:val="22"/>
    </w:rPr>
  </w:style>
  <w:style w:type="paragraph" w:styleId="26">
    <w:name w:val="Date"/>
    <w:basedOn w:val="1"/>
    <w:next w:val="1"/>
    <w:link w:val="85"/>
    <w:qFormat/>
    <w:uiPriority w:val="0"/>
    <w:rPr>
      <w:sz w:val="24"/>
      <w:szCs w:val="20"/>
    </w:rPr>
  </w:style>
  <w:style w:type="paragraph" w:styleId="27">
    <w:name w:val="Body Text Indent 2"/>
    <w:basedOn w:val="1"/>
    <w:link w:val="132"/>
    <w:qFormat/>
    <w:uiPriority w:val="0"/>
    <w:pPr>
      <w:spacing w:after="120" w:line="480" w:lineRule="auto"/>
      <w:ind w:left="420" w:leftChars="200"/>
    </w:pPr>
    <w:rPr>
      <w:lang w:val="zh-CN"/>
    </w:rPr>
  </w:style>
  <w:style w:type="paragraph" w:styleId="28">
    <w:name w:val="Balloon Text"/>
    <w:basedOn w:val="1"/>
    <w:link w:val="159"/>
    <w:qFormat/>
    <w:uiPriority w:val="0"/>
    <w:rPr>
      <w:rFonts w:ascii="Calibri" w:hAnsi="Calibri"/>
      <w:sz w:val="18"/>
      <w:szCs w:val="18"/>
    </w:rPr>
  </w:style>
  <w:style w:type="paragraph" w:styleId="29">
    <w:name w:val="footer"/>
    <w:basedOn w:val="1"/>
    <w:link w:val="107"/>
    <w:qFormat/>
    <w:uiPriority w:val="0"/>
    <w:pPr>
      <w:tabs>
        <w:tab w:val="center" w:pos="4153"/>
        <w:tab w:val="right" w:pos="8306"/>
      </w:tabs>
      <w:snapToGrid w:val="0"/>
      <w:jc w:val="left"/>
    </w:pPr>
    <w:rPr>
      <w:sz w:val="18"/>
      <w:szCs w:val="18"/>
    </w:rPr>
  </w:style>
  <w:style w:type="paragraph" w:styleId="30">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31">
    <w:name w:val="toc 4"/>
    <w:basedOn w:val="1"/>
    <w:next w:val="1"/>
    <w:qFormat/>
    <w:uiPriority w:val="39"/>
    <w:pPr>
      <w:adjustRightInd w:val="0"/>
      <w:snapToGrid w:val="0"/>
      <w:spacing w:line="360" w:lineRule="auto"/>
      <w:ind w:left="600" w:leftChars="600"/>
    </w:pPr>
    <w:rPr>
      <w:b/>
    </w:rPr>
  </w:style>
  <w:style w:type="paragraph" w:styleId="32">
    <w:name w:val="toc 6"/>
    <w:basedOn w:val="1"/>
    <w:next w:val="1"/>
    <w:qFormat/>
    <w:uiPriority w:val="39"/>
    <w:pPr>
      <w:ind w:left="2100" w:leftChars="1000"/>
    </w:pPr>
    <w:rPr>
      <w:rFonts w:ascii="Calibri" w:hAnsi="Calibri"/>
      <w:szCs w:val="22"/>
    </w:rPr>
  </w:style>
  <w:style w:type="paragraph" w:styleId="33">
    <w:name w:val="Body Text Indent 3"/>
    <w:basedOn w:val="1"/>
    <w:link w:val="157"/>
    <w:qFormat/>
    <w:uiPriority w:val="0"/>
    <w:pPr>
      <w:spacing w:after="120"/>
      <w:ind w:left="420" w:leftChars="200"/>
    </w:pPr>
    <w:rPr>
      <w:sz w:val="16"/>
      <w:szCs w:val="16"/>
    </w:rPr>
  </w:style>
  <w:style w:type="paragraph" w:styleId="34">
    <w:name w:val="toc 2"/>
    <w:basedOn w:val="1"/>
    <w:next w:val="1"/>
    <w:qFormat/>
    <w:uiPriority w:val="39"/>
    <w:pPr>
      <w:adjustRightInd w:val="0"/>
      <w:snapToGrid w:val="0"/>
      <w:spacing w:line="360" w:lineRule="auto"/>
      <w:ind w:left="200" w:leftChars="200"/>
    </w:pPr>
  </w:style>
  <w:style w:type="paragraph" w:styleId="35">
    <w:name w:val="toc 9"/>
    <w:basedOn w:val="1"/>
    <w:next w:val="1"/>
    <w:qFormat/>
    <w:uiPriority w:val="39"/>
    <w:pPr>
      <w:ind w:left="3360" w:leftChars="1600"/>
    </w:pPr>
    <w:rPr>
      <w:rFonts w:ascii="Calibri" w:hAnsi="Calibri"/>
      <w:szCs w:val="22"/>
    </w:rPr>
  </w:style>
  <w:style w:type="paragraph" w:styleId="36">
    <w:name w:val="Body Text 2"/>
    <w:basedOn w:val="1"/>
    <w:link w:val="87"/>
    <w:qFormat/>
    <w:uiPriority w:val="0"/>
    <w:pPr>
      <w:spacing w:after="120" w:line="480" w:lineRule="auto"/>
    </w:pPr>
    <w:rPr>
      <w:lang w:val="zh-CN"/>
    </w:rPr>
  </w:style>
  <w:style w:type="paragraph" w:styleId="37">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lang w:val="zh-CN"/>
    </w:rPr>
  </w:style>
  <w:style w:type="paragraph" w:styleId="3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next w:val="1"/>
    <w:qFormat/>
    <w:uiPriority w:val="0"/>
    <w:pPr>
      <w:spacing w:before="240" w:after="60"/>
      <w:jc w:val="center"/>
      <w:outlineLvl w:val="0"/>
    </w:pPr>
    <w:rPr>
      <w:rFonts w:ascii="Cambria" w:hAnsi="Cambria"/>
      <w:b/>
      <w:sz w:val="32"/>
    </w:rPr>
  </w:style>
  <w:style w:type="paragraph" w:styleId="41">
    <w:name w:val="annotation subject"/>
    <w:basedOn w:val="17"/>
    <w:next w:val="17"/>
    <w:link w:val="109"/>
    <w:qFormat/>
    <w:uiPriority w:val="0"/>
    <w:rPr>
      <w:b/>
      <w:bCs/>
    </w:rPr>
  </w:style>
  <w:style w:type="paragraph" w:styleId="42">
    <w:name w:val="Body Text First Indent 2"/>
    <w:basedOn w:val="20"/>
    <w:unhideWhenUsed/>
    <w:qFormat/>
    <w:uiPriority w:val="0"/>
    <w:pPr>
      <w:ind w:firstLine="420" w:firstLineChars="200"/>
    </w:pPr>
    <w:rPr>
      <w:rFonts w:ascii="Calibri" w:hAnsi="Calibri"/>
    </w:rPr>
  </w:style>
  <w:style w:type="table" w:styleId="44">
    <w:name w:val="Table Grid"/>
    <w:basedOn w:val="43"/>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rFonts w:ascii="Times New Roman" w:hAnsi="Times New Roman" w:eastAsia="宋体"/>
    </w:rPr>
  </w:style>
  <w:style w:type="character" w:styleId="50">
    <w:name w:val="HTML Definition"/>
    <w:qFormat/>
    <w:uiPriority w:val="0"/>
    <w:rPr>
      <w:rFonts w:ascii="Times New Roman" w:hAnsi="Times New Roman" w:eastAsia="宋体"/>
    </w:rPr>
  </w:style>
  <w:style w:type="character" w:styleId="51">
    <w:name w:val="HTML Variable"/>
    <w:qFormat/>
    <w:uiPriority w:val="0"/>
    <w:rPr>
      <w:rFonts w:ascii="Times New Roman" w:hAnsi="Times New Roman" w:eastAsia="宋体"/>
    </w:rPr>
  </w:style>
  <w:style w:type="character" w:styleId="52">
    <w:name w:val="Hyperlink"/>
    <w:qFormat/>
    <w:uiPriority w:val="99"/>
    <w:rPr>
      <w:color w:val="136EC2"/>
      <w:u w:val="single"/>
    </w:rPr>
  </w:style>
  <w:style w:type="character" w:styleId="53">
    <w:name w:val="HTML Code"/>
    <w:qFormat/>
    <w:uiPriority w:val="0"/>
    <w:rPr>
      <w:rFonts w:ascii="Courier New" w:hAnsi="Courier New" w:eastAsia="Courier New" w:cs="Courier New"/>
      <w:sz w:val="20"/>
    </w:rPr>
  </w:style>
  <w:style w:type="character" w:styleId="54">
    <w:name w:val="annotation reference"/>
    <w:qFormat/>
    <w:uiPriority w:val="0"/>
    <w:rPr>
      <w:sz w:val="21"/>
      <w:szCs w:val="21"/>
    </w:rPr>
  </w:style>
  <w:style w:type="character" w:styleId="55">
    <w:name w:val="HTML Cite"/>
    <w:qFormat/>
    <w:uiPriority w:val="0"/>
    <w:rPr>
      <w:rFonts w:ascii="Times New Roman" w:hAnsi="Times New Roman" w:eastAsia="宋体"/>
    </w:rPr>
  </w:style>
  <w:style w:type="character" w:styleId="56">
    <w:name w:val="HTML Keyboard"/>
    <w:qFormat/>
    <w:uiPriority w:val="0"/>
    <w:rPr>
      <w:rFonts w:ascii="Courier New" w:hAnsi="Courier New" w:eastAsia="Courier New" w:cs="Courier New"/>
      <w:sz w:val="20"/>
    </w:rPr>
  </w:style>
  <w:style w:type="character" w:styleId="57">
    <w:name w:val="HTML Sample"/>
    <w:qFormat/>
    <w:uiPriority w:val="0"/>
    <w:rPr>
      <w:rFonts w:ascii="Courier New" w:hAnsi="Courier New" w:eastAsia="Courier New" w:cs="Courier New"/>
    </w:rPr>
  </w:style>
  <w:style w:type="character" w:customStyle="1" w:styleId="58">
    <w:name w:val="sidecatalog-dot"/>
    <w:qFormat/>
    <w:uiPriority w:val="0"/>
    <w:rPr>
      <w:rFonts w:ascii="Times New Roman" w:hAnsi="Times New Roman" w:eastAsia="宋体"/>
    </w:rPr>
  </w:style>
  <w:style w:type="character" w:customStyle="1" w:styleId="59">
    <w:name w:val="标题 Char1"/>
    <w:qFormat/>
    <w:uiPriority w:val="10"/>
    <w:rPr>
      <w:rFonts w:ascii="Cambria" w:hAnsi="Cambria" w:eastAsia="宋体" w:cs="Times New Roman"/>
      <w:b/>
      <w:bCs/>
      <w:sz w:val="32"/>
      <w:szCs w:val="32"/>
    </w:rPr>
  </w:style>
  <w:style w:type="character" w:customStyle="1" w:styleId="60">
    <w:name w:val="标题 2 Char"/>
    <w:qFormat/>
    <w:uiPriority w:val="0"/>
    <w:rPr>
      <w:rFonts w:ascii="Cambria" w:hAnsi="Cambria" w:eastAsia="宋体" w:cs="Times New Roman"/>
      <w:b/>
      <w:bCs/>
      <w:kern w:val="2"/>
      <w:sz w:val="32"/>
      <w:szCs w:val="32"/>
    </w:rPr>
  </w:style>
  <w:style w:type="character" w:customStyle="1" w:styleId="61">
    <w:name w:val="Font Style123"/>
    <w:unhideWhenUsed/>
    <w:qFormat/>
    <w:uiPriority w:val="0"/>
    <w:rPr>
      <w:rFonts w:hint="eastAsia" w:ascii="宋体" w:hAnsi="宋体" w:eastAsia="宋体"/>
      <w:b/>
      <w:sz w:val="32"/>
    </w:rPr>
  </w:style>
  <w:style w:type="character" w:customStyle="1" w:styleId="62">
    <w:name w:val="font11"/>
    <w:qFormat/>
    <w:uiPriority w:val="0"/>
    <w:rPr>
      <w:rFonts w:hint="eastAsia" w:ascii="宋体" w:hAnsi="宋体" w:eastAsia="宋体" w:cs="宋体"/>
      <w:color w:val="000000"/>
      <w:sz w:val="28"/>
      <w:szCs w:val="28"/>
      <w:u w:val="none"/>
    </w:rPr>
  </w:style>
  <w:style w:type="character" w:customStyle="1" w:styleId="63">
    <w:name w:val="sort1"/>
    <w:qFormat/>
    <w:uiPriority w:val="0"/>
    <w:rPr>
      <w:rFonts w:ascii="Times New Roman" w:hAnsi="Times New Roman" w:eastAsia="宋体"/>
    </w:rPr>
  </w:style>
  <w:style w:type="character" w:customStyle="1" w:styleId="64">
    <w:name w:val="页脚 Char"/>
    <w:qFormat/>
    <w:uiPriority w:val="99"/>
    <w:rPr>
      <w:kern w:val="2"/>
      <w:sz w:val="18"/>
      <w:szCs w:val="18"/>
    </w:rPr>
  </w:style>
  <w:style w:type="character" w:customStyle="1" w:styleId="65">
    <w:name w:val="标题 3 Char"/>
    <w:qFormat/>
    <w:uiPriority w:val="0"/>
    <w:rPr>
      <w:b/>
      <w:bCs/>
      <w:sz w:val="24"/>
      <w:szCs w:val="24"/>
    </w:rPr>
  </w:style>
  <w:style w:type="character" w:customStyle="1" w:styleId="66">
    <w:name w:val="Font Style105"/>
    <w:unhideWhenUsed/>
    <w:qFormat/>
    <w:uiPriority w:val="0"/>
    <w:rPr>
      <w:rFonts w:hint="eastAsia" w:ascii="Times New Roman" w:hAnsi="Times New Roman" w:eastAsia="Times New Roman"/>
      <w:w w:val="60"/>
      <w:sz w:val="26"/>
    </w:rPr>
  </w:style>
  <w:style w:type="character" w:customStyle="1" w:styleId="67">
    <w:name w:val="标题 9 Char"/>
    <w:qFormat/>
    <w:uiPriority w:val="0"/>
    <w:rPr>
      <w:rFonts w:ascii="Arial" w:hAnsi="Arial" w:eastAsia="黑体"/>
      <w:sz w:val="21"/>
      <w:szCs w:val="21"/>
    </w:rPr>
  </w:style>
  <w:style w:type="character" w:customStyle="1" w:styleId="68">
    <w:name w:val="标题 7 Char"/>
    <w:qFormat/>
    <w:uiPriority w:val="0"/>
    <w:rPr>
      <w:b/>
      <w:bCs/>
      <w:sz w:val="24"/>
      <w:szCs w:val="24"/>
    </w:rPr>
  </w:style>
  <w:style w:type="character" w:customStyle="1" w:styleId="69">
    <w:name w:val="标题 1 Char1"/>
    <w:link w:val="5"/>
    <w:qFormat/>
    <w:uiPriority w:val="0"/>
    <w:rPr>
      <w:rFonts w:eastAsia="宋体"/>
      <w:b/>
      <w:bCs/>
      <w:kern w:val="2"/>
      <w:sz w:val="24"/>
      <w:lang w:val="en-US" w:eastAsia="zh-CN" w:bidi="ar-SA"/>
    </w:rPr>
  </w:style>
  <w:style w:type="character" w:customStyle="1" w:styleId="70">
    <w:name w:val="批注文字 Char Char"/>
    <w:qFormat/>
    <w:uiPriority w:val="0"/>
    <w:rPr>
      <w:kern w:val="2"/>
      <w:sz w:val="21"/>
      <w:szCs w:val="24"/>
      <w:lang w:bidi="ar-SA"/>
    </w:rPr>
  </w:style>
  <w:style w:type="character" w:customStyle="1" w:styleId="71">
    <w:name w:val="标题 4 Char1"/>
    <w:link w:val="8"/>
    <w:qFormat/>
    <w:uiPriority w:val="0"/>
    <w:rPr>
      <w:rFonts w:ascii="Arial" w:hAnsi="Arial" w:eastAsia="黑体"/>
      <w:b/>
      <w:bCs/>
      <w:kern w:val="2"/>
      <w:sz w:val="28"/>
      <w:szCs w:val="28"/>
      <w:lang w:val="en-US" w:eastAsia="zh-CN" w:bidi="ar-SA"/>
    </w:rPr>
  </w:style>
  <w:style w:type="character" w:customStyle="1" w:styleId="72">
    <w:name w:val="Font Style104"/>
    <w:unhideWhenUsed/>
    <w:qFormat/>
    <w:uiPriority w:val="0"/>
    <w:rPr>
      <w:rFonts w:hint="eastAsia" w:ascii="宋体" w:hAnsi="宋体" w:eastAsia="宋体"/>
      <w:spacing w:val="30"/>
      <w:sz w:val="18"/>
    </w:rPr>
  </w:style>
  <w:style w:type="character" w:customStyle="1" w:styleId="73">
    <w:name w:val="页眉 Char1"/>
    <w:link w:val="30"/>
    <w:qFormat/>
    <w:uiPriority w:val="0"/>
    <w:rPr>
      <w:rFonts w:eastAsia="宋体"/>
      <w:kern w:val="2"/>
      <w:sz w:val="18"/>
      <w:szCs w:val="18"/>
      <w:lang w:val="en-US" w:eastAsia="zh-CN" w:bidi="ar-SA"/>
    </w:rPr>
  </w:style>
  <w:style w:type="character" w:customStyle="1" w:styleId="74">
    <w:name w:val="Font Style134"/>
    <w:unhideWhenUsed/>
    <w:qFormat/>
    <w:uiPriority w:val="0"/>
    <w:rPr>
      <w:rFonts w:hint="eastAsia" w:ascii="宋体" w:hAnsi="宋体" w:eastAsia="宋体"/>
      <w:spacing w:val="20"/>
      <w:sz w:val="22"/>
    </w:rPr>
  </w:style>
  <w:style w:type="character" w:customStyle="1" w:styleId="75">
    <w:name w:val="标题 4 Char"/>
    <w:qFormat/>
    <w:uiPriority w:val="0"/>
    <w:rPr>
      <w:rFonts w:ascii="Arial" w:hAnsi="Arial" w:eastAsia="宋体" w:cs="Times New Roman"/>
      <w:b/>
      <w:bCs/>
      <w:szCs w:val="28"/>
    </w:rPr>
  </w:style>
  <w:style w:type="character" w:customStyle="1" w:styleId="76">
    <w:name w:val="纯文本 字符"/>
    <w:semiHidden/>
    <w:qFormat/>
    <w:locked/>
    <w:uiPriority w:val="0"/>
    <w:rPr>
      <w:rFonts w:ascii="宋体" w:hAnsi="Courier New" w:eastAsia="宋体" w:cs="Courier New"/>
      <w:kern w:val="2"/>
      <w:sz w:val="21"/>
      <w:szCs w:val="21"/>
      <w:lang w:val="en-US" w:eastAsia="zh-CN" w:bidi="ar-SA"/>
    </w:rPr>
  </w:style>
  <w:style w:type="character" w:customStyle="1" w:styleId="77">
    <w:name w:val="bds_nopic"/>
    <w:qFormat/>
    <w:uiPriority w:val="0"/>
    <w:rPr>
      <w:rFonts w:ascii="Times New Roman" w:hAnsi="Times New Roman" w:eastAsia="宋体"/>
    </w:rPr>
  </w:style>
  <w:style w:type="character" w:customStyle="1" w:styleId="78">
    <w:name w:val="Font Style126"/>
    <w:unhideWhenUsed/>
    <w:qFormat/>
    <w:uiPriority w:val="0"/>
    <w:rPr>
      <w:rFonts w:hint="eastAsia" w:ascii="宋体" w:hAnsi="宋体" w:eastAsia="宋体"/>
      <w:b/>
      <w:spacing w:val="-30"/>
      <w:sz w:val="28"/>
    </w:rPr>
  </w:style>
  <w:style w:type="character" w:customStyle="1" w:styleId="79">
    <w:name w:val="Font Style125"/>
    <w:unhideWhenUsed/>
    <w:qFormat/>
    <w:uiPriority w:val="0"/>
    <w:rPr>
      <w:rFonts w:hint="eastAsia" w:ascii="宋体" w:hAnsi="宋体" w:eastAsia="宋体"/>
      <w:b/>
      <w:sz w:val="26"/>
    </w:rPr>
  </w:style>
  <w:style w:type="character" w:customStyle="1" w:styleId="80">
    <w:name w:val="sidecatalog-index1"/>
    <w:qFormat/>
    <w:uiPriority w:val="0"/>
    <w:rPr>
      <w:rFonts w:ascii="Arial" w:hAnsi="Arial" w:eastAsia="宋体" w:cs="Arial"/>
      <w:b/>
      <w:color w:val="999999"/>
      <w:sz w:val="21"/>
      <w:szCs w:val="21"/>
    </w:rPr>
  </w:style>
  <w:style w:type="character" w:customStyle="1" w:styleId="81">
    <w:name w:val="HTML 预设格式 Char"/>
    <w:link w:val="37"/>
    <w:qFormat/>
    <w:uiPriority w:val="0"/>
    <w:rPr>
      <w:rFonts w:ascii="Arial" w:hAnsi="Arial" w:cs="Arial"/>
      <w:sz w:val="24"/>
      <w:szCs w:val="24"/>
    </w:rPr>
  </w:style>
  <w:style w:type="character" w:customStyle="1" w:styleId="82">
    <w:name w:val="Font Style117"/>
    <w:unhideWhenUsed/>
    <w:qFormat/>
    <w:uiPriority w:val="0"/>
    <w:rPr>
      <w:rFonts w:hint="eastAsia" w:ascii="宋体" w:hAnsi="宋体" w:eastAsia="宋体"/>
      <w:spacing w:val="20"/>
      <w:sz w:val="24"/>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bds_nopic2"/>
    <w:qFormat/>
    <w:uiPriority w:val="0"/>
    <w:rPr>
      <w:rFonts w:ascii="Times New Roman" w:hAnsi="Times New Roman" w:eastAsia="宋体"/>
    </w:rPr>
  </w:style>
  <w:style w:type="character" w:customStyle="1" w:styleId="85">
    <w:name w:val="日期 Char1"/>
    <w:link w:val="26"/>
    <w:qFormat/>
    <w:uiPriority w:val="0"/>
    <w:rPr>
      <w:rFonts w:eastAsia="宋体"/>
      <w:kern w:val="2"/>
      <w:sz w:val="24"/>
      <w:lang w:val="en-US" w:eastAsia="zh-CN" w:bidi="ar-SA"/>
    </w:rPr>
  </w:style>
  <w:style w:type="character" w:customStyle="1" w:styleId="86">
    <w:name w:val="标题 6 Char"/>
    <w:qFormat/>
    <w:uiPriority w:val="0"/>
    <w:rPr>
      <w:rFonts w:ascii="Arial" w:hAnsi="Arial" w:eastAsia="黑体"/>
      <w:b/>
      <w:bCs/>
      <w:sz w:val="24"/>
      <w:szCs w:val="24"/>
    </w:rPr>
  </w:style>
  <w:style w:type="character" w:customStyle="1" w:styleId="87">
    <w:name w:val="正文文本 2 Char"/>
    <w:link w:val="36"/>
    <w:qFormat/>
    <w:uiPriority w:val="0"/>
    <w:rPr>
      <w:kern w:val="2"/>
      <w:sz w:val="21"/>
      <w:szCs w:val="24"/>
    </w:rPr>
  </w:style>
  <w:style w:type="character" w:customStyle="1" w:styleId="88">
    <w:name w:val="bds_more6"/>
    <w:qFormat/>
    <w:uiPriority w:val="0"/>
    <w:rPr>
      <w:rFonts w:hint="eastAsia" w:ascii="宋体" w:hAnsi="宋体" w:eastAsia="宋体" w:cs="宋体"/>
    </w:rPr>
  </w:style>
  <w:style w:type="character" w:customStyle="1" w:styleId="89">
    <w:name w:val="标题 1 Char"/>
    <w:qFormat/>
    <w:uiPriority w:val="0"/>
    <w:rPr>
      <w:rFonts w:ascii="Cambria" w:hAnsi="Cambria"/>
      <w:b/>
      <w:bCs/>
      <w:kern w:val="32"/>
      <w:sz w:val="32"/>
      <w:szCs w:val="32"/>
    </w:rPr>
  </w:style>
  <w:style w:type="character" w:customStyle="1" w:styleId="90">
    <w:name w:val="文档结构图 Char"/>
    <w:link w:val="16"/>
    <w:semiHidden/>
    <w:qFormat/>
    <w:uiPriority w:val="0"/>
    <w:rPr>
      <w:kern w:val="2"/>
      <w:sz w:val="21"/>
      <w:szCs w:val="24"/>
      <w:shd w:val="clear" w:color="auto" w:fill="000080"/>
    </w:rPr>
  </w:style>
  <w:style w:type="character" w:customStyle="1" w:styleId="91">
    <w:name w:val="p0 Char"/>
    <w:link w:val="92"/>
    <w:qFormat/>
    <w:uiPriority w:val="0"/>
    <w:rPr>
      <w:rFonts w:eastAsia="宋体"/>
      <w:sz w:val="21"/>
      <w:szCs w:val="21"/>
      <w:lang w:val="en-US" w:eastAsia="zh-CN" w:bidi="ar-SA"/>
    </w:rPr>
  </w:style>
  <w:style w:type="paragraph" w:customStyle="1" w:styleId="92">
    <w:name w:val="p0"/>
    <w:basedOn w:val="1"/>
    <w:link w:val="91"/>
    <w:qFormat/>
    <w:uiPriority w:val="0"/>
    <w:pPr>
      <w:widowControl/>
    </w:pPr>
    <w:rPr>
      <w:kern w:val="0"/>
      <w:szCs w:val="21"/>
    </w:rPr>
  </w:style>
  <w:style w:type="character" w:customStyle="1" w:styleId="93">
    <w:name w:val="Char Char17"/>
    <w:qFormat/>
    <w:uiPriority w:val="0"/>
    <w:rPr>
      <w:rFonts w:ascii="宋体" w:hAnsi="Times New Roman" w:eastAsia="宋体"/>
      <w:b/>
      <w:sz w:val="28"/>
      <w:lang w:val="en-US" w:eastAsia="zh-CN" w:bidi="ar-SA"/>
    </w:rPr>
  </w:style>
  <w:style w:type="character" w:customStyle="1" w:styleId="94">
    <w:name w:val="标题 5 Char1"/>
    <w:link w:val="9"/>
    <w:qFormat/>
    <w:uiPriority w:val="0"/>
    <w:rPr>
      <w:rFonts w:eastAsia="宋体"/>
      <w:b/>
      <w:bCs/>
      <w:sz w:val="28"/>
      <w:szCs w:val="28"/>
      <w:lang w:val="en-US" w:eastAsia="zh-CN" w:bidi="ar-SA"/>
    </w:rPr>
  </w:style>
  <w:style w:type="character" w:customStyle="1" w:styleId="95">
    <w:name w:val="polysemyexp"/>
    <w:qFormat/>
    <w:uiPriority w:val="0"/>
    <w:rPr>
      <w:rFonts w:ascii="Times New Roman" w:hAnsi="Times New Roman" w:eastAsia="宋体"/>
      <w:color w:val="AAAAAA"/>
      <w:sz w:val="18"/>
      <w:szCs w:val="18"/>
    </w:rPr>
  </w:style>
  <w:style w:type="character" w:customStyle="1" w:styleId="96">
    <w:name w:val="font51"/>
    <w:qFormat/>
    <w:uiPriority w:val="0"/>
    <w:rPr>
      <w:rFonts w:hint="eastAsia" w:ascii="宋体" w:hAnsi="宋体" w:eastAsia="宋体" w:cs="宋体"/>
      <w:b/>
      <w:color w:val="000000"/>
      <w:sz w:val="20"/>
      <w:szCs w:val="20"/>
      <w:u w:val="none"/>
    </w:rPr>
  </w:style>
  <w:style w:type="character" w:customStyle="1" w:styleId="97">
    <w:name w:val="标题 3 Char1"/>
    <w:link w:val="7"/>
    <w:qFormat/>
    <w:uiPriority w:val="0"/>
    <w:rPr>
      <w:rFonts w:eastAsia="宋体"/>
      <w:b/>
      <w:bCs/>
      <w:kern w:val="2"/>
      <w:sz w:val="32"/>
      <w:szCs w:val="32"/>
      <w:lang w:val="en-US" w:eastAsia="zh-CN" w:bidi="ar-SA"/>
    </w:rPr>
  </w:style>
  <w:style w:type="character" w:customStyle="1" w:styleId="98">
    <w:name w:val="bds_more10"/>
    <w:qFormat/>
    <w:uiPriority w:val="0"/>
    <w:rPr>
      <w:rFonts w:ascii="Times New Roman" w:hAnsi="Times New Roman" w:eastAsia="宋体"/>
    </w:rPr>
  </w:style>
  <w:style w:type="character" w:customStyle="1" w:styleId="99">
    <w:name w:val="font91"/>
    <w:qFormat/>
    <w:uiPriority w:val="0"/>
    <w:rPr>
      <w:rFonts w:hint="eastAsia" w:ascii="宋体" w:hAnsi="宋体" w:eastAsia="宋体" w:cs="宋体"/>
      <w:color w:val="000000"/>
      <w:sz w:val="20"/>
      <w:szCs w:val="20"/>
      <w:u w:val="none"/>
      <w:vertAlign w:val="superscript"/>
    </w:rPr>
  </w:style>
  <w:style w:type="character" w:customStyle="1" w:styleId="100">
    <w:name w:val="Char Char15"/>
    <w:qFormat/>
    <w:uiPriority w:val="0"/>
    <w:rPr>
      <w:b/>
      <w:bCs/>
      <w:sz w:val="24"/>
      <w:szCs w:val="24"/>
    </w:rPr>
  </w:style>
  <w:style w:type="character" w:customStyle="1" w:styleId="101">
    <w:name w:val="Char Char12"/>
    <w:qFormat/>
    <w:uiPriority w:val="0"/>
    <w:rPr>
      <w:rFonts w:ascii="Arial" w:hAnsi="Arial" w:eastAsia="黑体"/>
      <w:b/>
      <w:bCs/>
      <w:kern w:val="2"/>
      <w:sz w:val="28"/>
      <w:szCs w:val="28"/>
      <w:lang w:val="en-US" w:eastAsia="zh-CN" w:bidi="ar-SA"/>
    </w:rPr>
  </w:style>
  <w:style w:type="character" w:customStyle="1" w:styleId="102">
    <w:name w:val="Font Style122"/>
    <w:unhideWhenUsed/>
    <w:qFormat/>
    <w:uiPriority w:val="0"/>
    <w:rPr>
      <w:rFonts w:hint="eastAsia" w:ascii="宋体" w:hAnsi="宋体" w:eastAsia="宋体"/>
      <w:spacing w:val="20"/>
      <w:sz w:val="24"/>
    </w:rPr>
  </w:style>
  <w:style w:type="character" w:customStyle="1" w:styleId="103">
    <w:name w:val="Font Style115"/>
    <w:unhideWhenUsed/>
    <w:qFormat/>
    <w:uiPriority w:val="0"/>
    <w:rPr>
      <w:rFonts w:hint="eastAsia" w:ascii="Times New Roman" w:hAnsi="Times New Roman" w:eastAsia="Times New Roman"/>
      <w:sz w:val="16"/>
    </w:rPr>
  </w:style>
  <w:style w:type="character" w:customStyle="1" w:styleId="104">
    <w:name w:val="sidecatalog-dot1"/>
    <w:qFormat/>
    <w:uiPriority w:val="0"/>
    <w:rPr>
      <w:rFonts w:ascii="Times New Roman" w:hAnsi="Times New Roman" w:eastAsia="宋体"/>
    </w:rPr>
  </w:style>
  <w:style w:type="character" w:customStyle="1" w:styleId="105">
    <w:name w:val="font41"/>
    <w:qFormat/>
    <w:uiPriority w:val="0"/>
    <w:rPr>
      <w:rFonts w:hint="eastAsia" w:ascii="宋体" w:hAnsi="宋体" w:eastAsia="宋体" w:cs="宋体"/>
      <w:color w:val="FF0000"/>
      <w:sz w:val="20"/>
      <w:szCs w:val="20"/>
      <w:u w:val="none"/>
    </w:rPr>
  </w:style>
  <w:style w:type="character" w:customStyle="1" w:styleId="106">
    <w:name w:val="正文文本缩进 Char"/>
    <w:link w:val="20"/>
    <w:qFormat/>
    <w:uiPriority w:val="0"/>
    <w:rPr>
      <w:rFonts w:eastAsia="宋体"/>
      <w:kern w:val="2"/>
      <w:sz w:val="21"/>
      <w:szCs w:val="24"/>
      <w:lang w:val="en-US" w:eastAsia="zh-CN" w:bidi="ar-SA"/>
    </w:rPr>
  </w:style>
  <w:style w:type="character" w:customStyle="1" w:styleId="107">
    <w:name w:val="页脚 Char1"/>
    <w:link w:val="29"/>
    <w:qFormat/>
    <w:uiPriority w:val="0"/>
    <w:rPr>
      <w:rFonts w:eastAsia="宋体"/>
      <w:kern w:val="2"/>
      <w:sz w:val="18"/>
      <w:szCs w:val="18"/>
      <w:lang w:val="en-US" w:eastAsia="zh-CN" w:bidi="ar-SA"/>
    </w:rPr>
  </w:style>
  <w:style w:type="character" w:customStyle="1" w:styleId="108">
    <w:name w:val="称呼 Char"/>
    <w:link w:val="18"/>
    <w:qFormat/>
    <w:uiPriority w:val="0"/>
    <w:rPr>
      <w:rFonts w:ascii="仿宋_GB2312" w:eastAsia="仿宋_GB2312"/>
      <w:kern w:val="2"/>
      <w:sz w:val="24"/>
      <w:szCs w:val="24"/>
    </w:rPr>
  </w:style>
  <w:style w:type="character" w:customStyle="1" w:styleId="109">
    <w:name w:val="批注主题 Char1"/>
    <w:link w:val="41"/>
    <w:qFormat/>
    <w:uiPriority w:val="0"/>
    <w:rPr>
      <w:rFonts w:eastAsia="宋体"/>
      <w:b/>
      <w:bCs/>
      <w:kern w:val="2"/>
      <w:sz w:val="21"/>
      <w:szCs w:val="24"/>
      <w:lang w:val="en-US" w:eastAsia="zh-CN" w:bidi="ar-SA"/>
    </w:rPr>
  </w:style>
  <w:style w:type="character" w:customStyle="1" w:styleId="110">
    <w:name w:val="lemmatitleh12"/>
    <w:qFormat/>
    <w:uiPriority w:val="0"/>
    <w:rPr>
      <w:rFonts w:ascii="Times New Roman" w:hAnsi="Times New Roman" w:eastAsia="宋体"/>
    </w:rPr>
  </w:style>
  <w:style w:type="character" w:customStyle="1" w:styleId="111">
    <w:name w:val="正文文本缩进 3 Char"/>
    <w:qFormat/>
    <w:uiPriority w:val="0"/>
    <w:rPr>
      <w:rFonts w:ascii="宋体" w:hAnsi="MS Sans Serif"/>
      <w:color w:val="000000"/>
      <w:sz w:val="24"/>
    </w:rPr>
  </w:style>
  <w:style w:type="character" w:customStyle="1" w:styleId="112">
    <w:name w:val="标题 9 Char1"/>
    <w:link w:val="13"/>
    <w:qFormat/>
    <w:uiPriority w:val="0"/>
    <w:rPr>
      <w:rFonts w:ascii="Arial" w:hAnsi="Arial" w:eastAsia="黑体"/>
      <w:sz w:val="21"/>
      <w:szCs w:val="21"/>
      <w:lang w:val="en-US" w:eastAsia="zh-CN" w:bidi="ar-SA"/>
    </w:rPr>
  </w:style>
  <w:style w:type="character" w:customStyle="1" w:styleId="113">
    <w:name w:val="Font Style127"/>
    <w:unhideWhenUsed/>
    <w:qFormat/>
    <w:uiPriority w:val="0"/>
    <w:rPr>
      <w:rFonts w:hint="eastAsia" w:ascii="Times New Roman" w:hAnsi="Times New Roman" w:eastAsia="Times New Roman"/>
      <w:sz w:val="20"/>
    </w:rPr>
  </w:style>
  <w:style w:type="character" w:customStyle="1" w:styleId="114">
    <w:name w:val="日期 Char"/>
    <w:qFormat/>
    <w:uiPriority w:val="0"/>
    <w:rPr>
      <w:kern w:val="2"/>
      <w:sz w:val="21"/>
      <w:szCs w:val="24"/>
    </w:rPr>
  </w:style>
  <w:style w:type="character" w:customStyle="1" w:styleId="115">
    <w:name w:val="批注框文本 Char"/>
    <w:qFormat/>
    <w:uiPriority w:val="0"/>
    <w:rPr>
      <w:kern w:val="2"/>
      <w:sz w:val="18"/>
      <w:szCs w:val="18"/>
    </w:rPr>
  </w:style>
  <w:style w:type="character" w:customStyle="1" w:styleId="116">
    <w:name w:val="Font Style131"/>
    <w:unhideWhenUsed/>
    <w:qFormat/>
    <w:uiPriority w:val="0"/>
    <w:rPr>
      <w:rFonts w:hint="eastAsia" w:ascii="Times New Roman" w:hAnsi="Times New Roman" w:eastAsia="Times New Roman"/>
      <w:sz w:val="18"/>
    </w:rPr>
  </w:style>
  <w:style w:type="character" w:customStyle="1" w:styleId="117">
    <w:name w:val="批注主题 Char"/>
    <w:qFormat/>
    <w:uiPriority w:val="0"/>
    <w:rPr>
      <w:b/>
      <w:bCs/>
      <w:kern w:val="2"/>
      <w:sz w:val="21"/>
      <w:szCs w:val="24"/>
    </w:rPr>
  </w:style>
  <w:style w:type="character" w:customStyle="1" w:styleId="118">
    <w:name w:val="标题 8 Char"/>
    <w:qFormat/>
    <w:uiPriority w:val="0"/>
    <w:rPr>
      <w:rFonts w:ascii="Arial" w:hAnsi="Arial" w:eastAsia="黑体"/>
      <w:sz w:val="24"/>
      <w:szCs w:val="24"/>
    </w:rPr>
  </w:style>
  <w:style w:type="character" w:customStyle="1" w:styleId="119">
    <w:name w:val="纯文本 Char1"/>
    <w:semiHidden/>
    <w:qFormat/>
    <w:locked/>
    <w:uiPriority w:val="0"/>
    <w:rPr>
      <w:rFonts w:ascii="宋体" w:hAnsi="Courier New" w:eastAsia="宋体" w:cs="Courier New"/>
      <w:kern w:val="2"/>
      <w:sz w:val="21"/>
      <w:szCs w:val="21"/>
      <w:lang w:val="en-US" w:eastAsia="zh-CN" w:bidi="ar-SA"/>
    </w:rPr>
  </w:style>
  <w:style w:type="character" w:customStyle="1" w:styleId="120">
    <w:name w:val="Font Style116"/>
    <w:unhideWhenUsed/>
    <w:qFormat/>
    <w:uiPriority w:val="0"/>
    <w:rPr>
      <w:rFonts w:hint="eastAsia" w:ascii="宋体" w:hAnsi="宋体" w:eastAsia="宋体"/>
      <w:spacing w:val="-20"/>
      <w:sz w:val="24"/>
    </w:rPr>
  </w:style>
  <w:style w:type="character" w:customStyle="1" w:styleId="121">
    <w:name w:val="正文文本 Char"/>
    <w:link w:val="2"/>
    <w:qFormat/>
    <w:uiPriority w:val="0"/>
    <w:rPr>
      <w:kern w:val="2"/>
      <w:sz w:val="21"/>
      <w:szCs w:val="24"/>
    </w:rPr>
  </w:style>
  <w:style w:type="character" w:customStyle="1" w:styleId="122">
    <w:name w:val="sort"/>
    <w:qFormat/>
    <w:uiPriority w:val="0"/>
    <w:rPr>
      <w:rFonts w:ascii="Times New Roman" w:hAnsi="Times New Roman" w:eastAsia="宋体"/>
      <w:color w:val="FFFFFF"/>
      <w:bdr w:val="single" w:color="auto" w:sz="24" w:space="0"/>
    </w:rPr>
  </w:style>
  <w:style w:type="character" w:customStyle="1" w:styleId="123">
    <w:name w:val="标题 Char"/>
    <w:qFormat/>
    <w:uiPriority w:val="0"/>
    <w:rPr>
      <w:rFonts w:ascii="Cambria" w:hAnsi="Cambria"/>
      <w:b/>
      <w:kern w:val="2"/>
      <w:sz w:val="32"/>
      <w:szCs w:val="24"/>
    </w:rPr>
  </w:style>
  <w:style w:type="character" w:customStyle="1" w:styleId="124">
    <w:name w:val="正文文本 3 Char"/>
    <w:link w:val="19"/>
    <w:qFormat/>
    <w:uiPriority w:val="0"/>
    <w:rPr>
      <w:rFonts w:ascii="宋体"/>
      <w:color w:val="000000"/>
      <w:sz w:val="24"/>
    </w:rPr>
  </w:style>
  <w:style w:type="character" w:customStyle="1" w:styleId="125">
    <w:name w:val="Char Char13"/>
    <w:qFormat/>
    <w:uiPriority w:val="0"/>
    <w:rPr>
      <w:rFonts w:eastAsia="宋体"/>
      <w:b/>
      <w:bCs/>
      <w:kern w:val="2"/>
      <w:sz w:val="24"/>
      <w:lang w:val="en-US" w:eastAsia="zh-CN" w:bidi="ar-SA"/>
    </w:rPr>
  </w:style>
  <w:style w:type="character" w:customStyle="1" w:styleId="126">
    <w:name w:val="bds_more7"/>
    <w:qFormat/>
    <w:uiPriority w:val="0"/>
    <w:rPr>
      <w:rFonts w:ascii="Times New Roman" w:hAnsi="Times New Roman" w:eastAsia="宋体"/>
    </w:rPr>
  </w:style>
  <w:style w:type="character" w:customStyle="1" w:styleId="127">
    <w:name w:val="sidecatalog-index2"/>
    <w:qFormat/>
    <w:uiPriority w:val="0"/>
    <w:rPr>
      <w:rFonts w:ascii="Arail" w:hAnsi="Arail" w:eastAsia="Arail" w:cs="Arail"/>
      <w:color w:val="999999"/>
      <w:sz w:val="21"/>
      <w:szCs w:val="21"/>
    </w:rPr>
  </w:style>
  <w:style w:type="character" w:customStyle="1" w:styleId="128">
    <w:name w:val="批注文字 Char"/>
    <w:qFormat/>
    <w:uiPriority w:val="0"/>
    <w:rPr>
      <w:kern w:val="2"/>
      <w:sz w:val="21"/>
      <w:szCs w:val="24"/>
    </w:rPr>
  </w:style>
  <w:style w:type="character" w:customStyle="1" w:styleId="129">
    <w:name w:val="bds_more8"/>
    <w:qFormat/>
    <w:uiPriority w:val="0"/>
    <w:rPr>
      <w:rFonts w:ascii="Times New Roman" w:hAnsi="Times New Roman" w:eastAsia="宋体"/>
    </w:rPr>
  </w:style>
  <w:style w:type="character" w:customStyle="1" w:styleId="130">
    <w:name w:val="font81"/>
    <w:qFormat/>
    <w:uiPriority w:val="0"/>
    <w:rPr>
      <w:rFonts w:ascii="font-weight : 700" w:hAnsi="font-weight : 700" w:eastAsia="font-weight : 700" w:cs="font-weight : 700"/>
      <w:color w:val="000000"/>
      <w:sz w:val="20"/>
      <w:szCs w:val="20"/>
      <w:u w:val="none"/>
    </w:rPr>
  </w:style>
  <w:style w:type="character" w:customStyle="1" w:styleId="131">
    <w:name w:val="标题 7 Char1"/>
    <w:link w:val="11"/>
    <w:qFormat/>
    <w:uiPriority w:val="0"/>
    <w:rPr>
      <w:rFonts w:eastAsia="宋体"/>
      <w:b/>
      <w:bCs/>
      <w:sz w:val="24"/>
      <w:szCs w:val="24"/>
      <w:lang w:val="en-US" w:eastAsia="zh-CN" w:bidi="ar-SA"/>
    </w:rPr>
  </w:style>
  <w:style w:type="character" w:customStyle="1" w:styleId="132">
    <w:name w:val="正文文本缩进 2 Char"/>
    <w:link w:val="27"/>
    <w:qFormat/>
    <w:uiPriority w:val="0"/>
    <w:rPr>
      <w:kern w:val="2"/>
      <w:sz w:val="21"/>
      <w:szCs w:val="24"/>
    </w:rPr>
  </w:style>
  <w:style w:type="character" w:customStyle="1" w:styleId="133">
    <w:name w:val="content_11"/>
    <w:qFormat/>
    <w:uiPriority w:val="0"/>
    <w:rPr>
      <w:sz w:val="20"/>
      <w:szCs w:val="20"/>
    </w:rPr>
  </w:style>
  <w:style w:type="character" w:customStyle="1" w:styleId="134">
    <w:name w:val="font21"/>
    <w:qFormat/>
    <w:uiPriority w:val="0"/>
    <w:rPr>
      <w:rFonts w:ascii="font-weight : 400" w:hAnsi="font-weight : 400" w:eastAsia="font-weight : 400" w:cs="font-weight : 400"/>
      <w:color w:val="000000"/>
      <w:sz w:val="20"/>
      <w:szCs w:val="20"/>
      <w:u w:val="none"/>
    </w:rPr>
  </w:style>
  <w:style w:type="character" w:customStyle="1" w:styleId="135">
    <w:name w:val="desc"/>
    <w:qFormat/>
    <w:uiPriority w:val="0"/>
    <w:rPr>
      <w:rFonts w:ascii="Times New Roman" w:hAnsi="Times New Roman" w:eastAsia="宋体"/>
      <w:color w:val="000000"/>
      <w:sz w:val="18"/>
      <w:szCs w:val="18"/>
    </w:rPr>
  </w:style>
  <w:style w:type="character" w:customStyle="1" w:styleId="136">
    <w:name w:val="bds_more9"/>
    <w:qFormat/>
    <w:uiPriority w:val="0"/>
    <w:rPr>
      <w:rFonts w:ascii="Times New Roman" w:hAnsi="Times New Roman" w:eastAsia="宋体"/>
    </w:rPr>
  </w:style>
  <w:style w:type="character" w:customStyle="1" w:styleId="137">
    <w:name w:val="p0 Char Char"/>
    <w:qFormat/>
    <w:uiPriority w:val="0"/>
    <w:rPr>
      <w:rFonts w:eastAsia="宋体"/>
      <w:kern w:val="2"/>
      <w:sz w:val="21"/>
      <w:szCs w:val="21"/>
      <w:lang w:val="en-US" w:eastAsia="zh-CN" w:bidi="ar-SA"/>
    </w:rPr>
  </w:style>
  <w:style w:type="character" w:customStyle="1" w:styleId="138">
    <w:name w:val="标题 2 Char1"/>
    <w:link w:val="6"/>
    <w:qFormat/>
    <w:uiPriority w:val="0"/>
    <w:rPr>
      <w:rFonts w:ascii="Arial" w:hAnsi="Arial" w:eastAsia="宋体"/>
      <w:b/>
      <w:bCs/>
      <w:kern w:val="2"/>
      <w:sz w:val="24"/>
      <w:szCs w:val="32"/>
      <w:lang w:val="en-US" w:eastAsia="zh-CN" w:bidi="ar-SA"/>
    </w:rPr>
  </w:style>
  <w:style w:type="character" w:customStyle="1" w:styleId="139">
    <w:name w:val="页眉 Char"/>
    <w:qFormat/>
    <w:uiPriority w:val="99"/>
    <w:rPr>
      <w:kern w:val="2"/>
      <w:sz w:val="18"/>
      <w:szCs w:val="18"/>
    </w:rPr>
  </w:style>
  <w:style w:type="character" w:customStyle="1" w:styleId="140">
    <w:name w:val="polysemyred"/>
    <w:qFormat/>
    <w:uiPriority w:val="0"/>
    <w:rPr>
      <w:rFonts w:ascii="Times New Roman" w:hAnsi="Times New Roman" w:eastAsia="宋体"/>
      <w:color w:val="FF6666"/>
      <w:sz w:val="18"/>
      <w:szCs w:val="18"/>
    </w:rPr>
  </w:style>
  <w:style w:type="character" w:customStyle="1" w:styleId="141">
    <w:name w:val="批注文字 Char1"/>
    <w:link w:val="17"/>
    <w:qFormat/>
    <w:uiPriority w:val="0"/>
    <w:rPr>
      <w:rFonts w:eastAsia="宋体"/>
      <w:kern w:val="2"/>
      <w:sz w:val="21"/>
      <w:szCs w:val="24"/>
      <w:lang w:val="en-US" w:eastAsia="zh-CN" w:bidi="ar-SA"/>
    </w:rPr>
  </w:style>
  <w:style w:type="character" w:customStyle="1" w:styleId="142">
    <w:name w:val="Char Char14"/>
    <w:qFormat/>
    <w:uiPriority w:val="0"/>
    <w:rPr>
      <w:rFonts w:ascii="Arial" w:hAnsi="Arial" w:eastAsia="黑体"/>
      <w:b/>
      <w:bCs/>
      <w:sz w:val="28"/>
      <w:szCs w:val="28"/>
      <w:lang w:val="en-US" w:eastAsia="zh-CN" w:bidi="ar-SA"/>
    </w:rPr>
  </w:style>
  <w:style w:type="character" w:customStyle="1" w:styleId="143">
    <w:name w:val="Font Style133"/>
    <w:unhideWhenUsed/>
    <w:qFormat/>
    <w:uiPriority w:val="0"/>
    <w:rPr>
      <w:rFonts w:hint="eastAsia" w:ascii="宋体" w:hAnsi="宋体" w:eastAsia="宋体"/>
      <w:spacing w:val="30"/>
      <w:sz w:val="24"/>
    </w:rPr>
  </w:style>
  <w:style w:type="character" w:customStyle="1" w:styleId="144">
    <w:name w:val="Char Char16"/>
    <w:qFormat/>
    <w:uiPriority w:val="0"/>
    <w:rPr>
      <w:rFonts w:ascii="宋体" w:hAnsi="Times New Roman" w:eastAsia="宋体"/>
      <w:b/>
      <w:sz w:val="24"/>
      <w:lang w:val="en-US" w:eastAsia="zh-CN" w:bidi="ar-SA"/>
    </w:rPr>
  </w:style>
  <w:style w:type="character" w:customStyle="1" w:styleId="145">
    <w:name w:val="Font Style121"/>
    <w:unhideWhenUsed/>
    <w:qFormat/>
    <w:uiPriority w:val="0"/>
    <w:rPr>
      <w:rFonts w:hint="eastAsia" w:ascii="宋体" w:hAnsi="宋体" w:eastAsia="宋体"/>
      <w:spacing w:val="-10"/>
      <w:sz w:val="30"/>
    </w:rPr>
  </w:style>
  <w:style w:type="character" w:customStyle="1" w:styleId="146">
    <w:name w:val="Font Style94"/>
    <w:unhideWhenUsed/>
    <w:qFormat/>
    <w:uiPriority w:val="0"/>
    <w:rPr>
      <w:rFonts w:hint="eastAsia" w:ascii="Times New Roman" w:hAnsi="Times New Roman" w:eastAsia="Times New Roman"/>
      <w:sz w:val="28"/>
    </w:rPr>
  </w:style>
  <w:style w:type="character" w:customStyle="1" w:styleId="147">
    <w:name w:val="Font Style124"/>
    <w:unhideWhenUsed/>
    <w:qFormat/>
    <w:uiPriority w:val="0"/>
    <w:rPr>
      <w:rFonts w:hint="eastAsia" w:ascii="宋体" w:hAnsi="宋体" w:eastAsia="宋体"/>
      <w:spacing w:val="30"/>
      <w:sz w:val="24"/>
    </w:rPr>
  </w:style>
  <w:style w:type="character" w:customStyle="1" w:styleId="148">
    <w:name w:val="bds_nopic1"/>
    <w:qFormat/>
    <w:uiPriority w:val="0"/>
    <w:rPr>
      <w:rFonts w:ascii="Times New Roman" w:hAnsi="Times New Roman" w:eastAsia="宋体"/>
    </w:rPr>
  </w:style>
  <w:style w:type="character" w:customStyle="1" w:styleId="149">
    <w:name w:val="morelink-item"/>
    <w:qFormat/>
    <w:uiPriority w:val="0"/>
    <w:rPr>
      <w:rFonts w:ascii="Times New Roman" w:hAnsi="Times New Roman" w:eastAsia="宋体"/>
    </w:rPr>
  </w:style>
  <w:style w:type="character" w:customStyle="1" w:styleId="150">
    <w:name w:val="Font Style86"/>
    <w:unhideWhenUsed/>
    <w:qFormat/>
    <w:uiPriority w:val="0"/>
    <w:rPr>
      <w:rFonts w:hint="eastAsia" w:ascii="黑体" w:hAnsi="黑体" w:eastAsia="黑体"/>
      <w:spacing w:val="10"/>
      <w:sz w:val="30"/>
    </w:rPr>
  </w:style>
  <w:style w:type="character" w:customStyle="1" w:styleId="151">
    <w:name w:val="Font Style128"/>
    <w:unhideWhenUsed/>
    <w:qFormat/>
    <w:uiPriority w:val="0"/>
    <w:rPr>
      <w:rFonts w:hint="eastAsia" w:ascii="Times New Roman" w:hAnsi="Times New Roman" w:eastAsia="Times New Roman"/>
      <w:sz w:val="16"/>
    </w:rPr>
  </w:style>
  <w:style w:type="character" w:customStyle="1" w:styleId="152">
    <w:name w:val="标题 6 Char1"/>
    <w:link w:val="10"/>
    <w:qFormat/>
    <w:uiPriority w:val="0"/>
    <w:rPr>
      <w:rFonts w:ascii="Arial" w:hAnsi="Arial" w:eastAsia="黑体"/>
      <w:b/>
      <w:bCs/>
      <w:sz w:val="24"/>
      <w:szCs w:val="24"/>
      <w:lang w:val="en-US" w:eastAsia="zh-CN" w:bidi="ar-SA"/>
    </w:rPr>
  </w:style>
  <w:style w:type="character" w:customStyle="1" w:styleId="153">
    <w:name w:val="plus"/>
    <w:qFormat/>
    <w:uiPriority w:val="0"/>
    <w:rPr>
      <w:rFonts w:ascii="Times New Roman" w:hAnsi="Times New Roman" w:eastAsia="宋体"/>
      <w:b/>
      <w:vanish/>
      <w:color w:val="1F8DEF"/>
      <w:sz w:val="24"/>
      <w:szCs w:val="24"/>
    </w:rPr>
  </w:style>
  <w:style w:type="character" w:customStyle="1" w:styleId="154">
    <w:name w:val="纯文本 Char"/>
    <w:link w:val="24"/>
    <w:qFormat/>
    <w:locked/>
    <w:uiPriority w:val="0"/>
    <w:rPr>
      <w:rFonts w:ascii="宋体" w:hAnsi="Courier New" w:eastAsia="宋体" w:cs="Courier New"/>
      <w:kern w:val="2"/>
      <w:sz w:val="21"/>
      <w:szCs w:val="21"/>
      <w:lang w:val="en-US" w:eastAsia="zh-CN" w:bidi="ar-SA"/>
    </w:rPr>
  </w:style>
  <w:style w:type="character" w:customStyle="1" w:styleId="155">
    <w:name w:val="Font Style90"/>
    <w:unhideWhenUsed/>
    <w:qFormat/>
    <w:uiPriority w:val="0"/>
    <w:rPr>
      <w:rFonts w:hint="eastAsia" w:ascii="宋体" w:hAnsi="宋体" w:eastAsia="宋体"/>
      <w:b/>
      <w:spacing w:val="-20"/>
      <w:sz w:val="40"/>
    </w:rPr>
  </w:style>
  <w:style w:type="character" w:customStyle="1" w:styleId="156">
    <w:name w:val="Font Style119"/>
    <w:unhideWhenUsed/>
    <w:qFormat/>
    <w:uiPriority w:val="0"/>
    <w:rPr>
      <w:rFonts w:hint="eastAsia" w:ascii="宋体" w:hAnsi="宋体" w:eastAsia="宋体"/>
      <w:sz w:val="24"/>
    </w:rPr>
  </w:style>
  <w:style w:type="character" w:customStyle="1" w:styleId="157">
    <w:name w:val="正文文本缩进 3 Char1"/>
    <w:link w:val="33"/>
    <w:qFormat/>
    <w:uiPriority w:val="0"/>
    <w:rPr>
      <w:rFonts w:eastAsia="宋体"/>
      <w:kern w:val="2"/>
      <w:sz w:val="16"/>
      <w:szCs w:val="16"/>
      <w:lang w:val="en-US" w:eastAsia="zh-CN" w:bidi="ar-SA"/>
    </w:rPr>
  </w:style>
  <w:style w:type="character" w:customStyle="1" w:styleId="158">
    <w:name w:val="标题 5 Char"/>
    <w:qFormat/>
    <w:uiPriority w:val="0"/>
    <w:rPr>
      <w:b/>
      <w:bCs/>
      <w:kern w:val="2"/>
      <w:sz w:val="28"/>
      <w:szCs w:val="28"/>
    </w:rPr>
  </w:style>
  <w:style w:type="character" w:customStyle="1" w:styleId="159">
    <w:name w:val="批注框文本 Char1"/>
    <w:link w:val="28"/>
    <w:qFormat/>
    <w:locked/>
    <w:uiPriority w:val="0"/>
    <w:rPr>
      <w:rFonts w:ascii="Calibri" w:hAnsi="Calibri" w:eastAsia="宋体"/>
      <w:kern w:val="2"/>
      <w:sz w:val="18"/>
      <w:szCs w:val="18"/>
      <w:lang w:val="en-US" w:eastAsia="zh-CN" w:bidi="ar-SA"/>
    </w:rPr>
  </w:style>
  <w:style w:type="character" w:customStyle="1" w:styleId="160">
    <w:name w:val="标题 8 Char1"/>
    <w:link w:val="12"/>
    <w:qFormat/>
    <w:uiPriority w:val="0"/>
    <w:rPr>
      <w:rFonts w:ascii="Arial" w:hAnsi="Arial" w:eastAsia="黑体"/>
      <w:sz w:val="24"/>
      <w:szCs w:val="24"/>
      <w:lang w:val="en-US" w:eastAsia="zh-CN" w:bidi="ar-SA"/>
    </w:rPr>
  </w:style>
  <w:style w:type="paragraph" w:customStyle="1" w:styleId="161">
    <w:name w:val="文章正文"/>
    <w:basedOn w:val="1"/>
    <w:qFormat/>
    <w:uiPriority w:val="0"/>
    <w:pPr>
      <w:adjustRightInd w:val="0"/>
      <w:snapToGrid w:val="0"/>
      <w:spacing w:beforeLines="100" w:line="360" w:lineRule="auto"/>
      <w:ind w:firstLine="200" w:firstLineChars="200"/>
    </w:pPr>
    <w:rPr>
      <w:sz w:val="24"/>
      <w:szCs w:val="22"/>
    </w:rPr>
  </w:style>
  <w:style w:type="paragraph" w:customStyle="1" w:styleId="162">
    <w:name w:val="Char1 Char Char Char 字元 Char Char 字元 Char 字元 Char1 Char Char Char"/>
    <w:basedOn w:val="1"/>
    <w:qFormat/>
    <w:uiPriority w:val="0"/>
    <w:rPr>
      <w:szCs w:val="20"/>
    </w:rPr>
  </w:style>
  <w:style w:type="paragraph" w:customStyle="1" w:styleId="163">
    <w:name w:val="Style9"/>
    <w:basedOn w:val="1"/>
    <w:unhideWhenUsed/>
    <w:qFormat/>
    <w:uiPriority w:val="0"/>
  </w:style>
  <w:style w:type="paragraph" w:customStyle="1" w:styleId="164">
    <w:name w:val="Style52"/>
    <w:basedOn w:val="1"/>
    <w:unhideWhenUsed/>
    <w:qFormat/>
    <w:uiPriority w:val="0"/>
    <w:pPr>
      <w:spacing w:line="682" w:lineRule="exact"/>
      <w:ind w:firstLine="557"/>
    </w:pPr>
  </w:style>
  <w:style w:type="paragraph" w:customStyle="1" w:styleId="165">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66">
    <w:name w:val="_Style 39"/>
    <w:basedOn w:val="167"/>
    <w:qFormat/>
    <w:uiPriority w:val="0"/>
  </w:style>
  <w:style w:type="paragraph" w:customStyle="1" w:styleId="167">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9">
    <w:name w:val="Style76"/>
    <w:basedOn w:val="1"/>
    <w:unhideWhenUsed/>
    <w:qFormat/>
    <w:uiPriority w:val="0"/>
  </w:style>
  <w:style w:type="paragraph" w:customStyle="1" w:styleId="170">
    <w:name w:val="Style36"/>
    <w:basedOn w:val="1"/>
    <w:unhideWhenUsed/>
    <w:qFormat/>
    <w:uiPriority w:val="0"/>
  </w:style>
  <w:style w:type="paragraph" w:customStyle="1" w:styleId="171">
    <w:name w:val="Style15"/>
    <w:basedOn w:val="1"/>
    <w:unhideWhenUsed/>
    <w:qFormat/>
    <w:uiPriority w:val="0"/>
    <w:pPr>
      <w:spacing w:line="557" w:lineRule="exact"/>
      <w:ind w:firstLine="672"/>
    </w:pPr>
  </w:style>
  <w:style w:type="paragraph" w:customStyle="1" w:styleId="172">
    <w:name w:val="Char"/>
    <w:basedOn w:val="1"/>
    <w:qFormat/>
    <w:uiPriority w:val="0"/>
    <w:pPr>
      <w:tabs>
        <w:tab w:val="left" w:pos="360"/>
      </w:tabs>
      <w:ind w:left="360" w:hanging="360" w:hangingChars="200"/>
    </w:pPr>
    <w:rPr>
      <w:sz w:val="24"/>
    </w:rPr>
  </w:style>
  <w:style w:type="paragraph" w:customStyle="1" w:styleId="173">
    <w:name w:val="NO3"/>
    <w:basedOn w:val="1"/>
    <w:qFormat/>
    <w:uiPriority w:val="0"/>
    <w:pPr>
      <w:tabs>
        <w:tab w:val="left" w:pos="907"/>
      </w:tabs>
      <w:spacing w:line="360" w:lineRule="auto"/>
    </w:pPr>
    <w:rPr>
      <w:rFonts w:ascii="宋体" w:hAnsi="宋体"/>
      <w:sz w:val="24"/>
    </w:rPr>
  </w:style>
  <w:style w:type="paragraph" w:customStyle="1" w:styleId="174">
    <w:name w:val="Style62"/>
    <w:basedOn w:val="1"/>
    <w:unhideWhenUsed/>
    <w:qFormat/>
    <w:uiPriority w:val="0"/>
  </w:style>
  <w:style w:type="paragraph" w:customStyle="1" w:styleId="175">
    <w:name w:val="Char Char1 Char Char Char"/>
    <w:basedOn w:val="1"/>
    <w:qFormat/>
    <w:uiPriority w:val="0"/>
    <w:rPr>
      <w:kern w:val="0"/>
      <w:sz w:val="20"/>
      <w:szCs w:val="20"/>
    </w:rPr>
  </w:style>
  <w:style w:type="paragraph" w:customStyle="1" w:styleId="17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77">
    <w:name w:val="Style73"/>
    <w:basedOn w:val="1"/>
    <w:unhideWhenUsed/>
    <w:qFormat/>
    <w:uiPriority w:val="0"/>
    <w:pPr>
      <w:spacing w:line="538" w:lineRule="exact"/>
      <w:ind w:firstLine="533"/>
    </w:pPr>
  </w:style>
  <w:style w:type="paragraph" w:customStyle="1" w:styleId="178">
    <w:name w:val="Style71"/>
    <w:basedOn w:val="1"/>
    <w:unhideWhenUsed/>
    <w:qFormat/>
    <w:uiPriority w:val="0"/>
    <w:pPr>
      <w:spacing w:line="538" w:lineRule="exact"/>
      <w:ind w:firstLine="101"/>
    </w:pPr>
  </w:style>
  <w:style w:type="paragraph" w:customStyle="1" w:styleId="179">
    <w:name w:val="Char1 Char Char Char Char Char Char Char Char Char"/>
    <w:basedOn w:val="1"/>
    <w:qFormat/>
    <w:uiPriority w:val="0"/>
    <w:rPr>
      <w:szCs w:val="20"/>
    </w:rPr>
  </w:style>
  <w:style w:type="paragraph" w:customStyle="1" w:styleId="180">
    <w:name w:val="Style4"/>
    <w:basedOn w:val="1"/>
    <w:unhideWhenUsed/>
    <w:qFormat/>
    <w:uiPriority w:val="0"/>
  </w:style>
  <w:style w:type="paragraph" w:customStyle="1" w:styleId="181">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82">
    <w:name w:val="Style78"/>
    <w:basedOn w:val="1"/>
    <w:unhideWhenUsed/>
    <w:qFormat/>
    <w:uiPriority w:val="0"/>
  </w:style>
  <w:style w:type="paragraph" w:customStyle="1" w:styleId="183">
    <w:name w:val="Style60"/>
    <w:basedOn w:val="1"/>
    <w:unhideWhenUsed/>
    <w:qFormat/>
    <w:uiPriority w:val="0"/>
    <w:pPr>
      <w:spacing w:line="566" w:lineRule="exact"/>
    </w:pPr>
  </w:style>
  <w:style w:type="paragraph" w:customStyle="1" w:styleId="184">
    <w:name w:val="1"/>
    <w:basedOn w:val="1"/>
    <w:qFormat/>
    <w:uiPriority w:val="0"/>
    <w:pPr>
      <w:spacing w:afterLines="50" w:line="360" w:lineRule="auto"/>
    </w:pPr>
    <w:rPr>
      <w:rFonts w:ascii="宋体" w:hAnsi="宋体"/>
      <w:b/>
      <w:sz w:val="30"/>
      <w:szCs w:val="21"/>
    </w:rPr>
  </w:style>
  <w:style w:type="paragraph" w:customStyle="1" w:styleId="185">
    <w:name w:val="Style48"/>
    <w:basedOn w:val="1"/>
    <w:unhideWhenUsed/>
    <w:qFormat/>
    <w:uiPriority w:val="0"/>
    <w:pPr>
      <w:spacing w:line="542" w:lineRule="exact"/>
      <w:jc w:val="right"/>
    </w:pPr>
  </w:style>
  <w:style w:type="paragraph" w:customStyle="1" w:styleId="186">
    <w:name w:val="Style41"/>
    <w:basedOn w:val="1"/>
    <w:unhideWhenUsed/>
    <w:qFormat/>
    <w:uiPriority w:val="0"/>
    <w:pPr>
      <w:spacing w:line="542" w:lineRule="exact"/>
      <w:ind w:firstLine="125"/>
    </w:pPr>
  </w:style>
  <w:style w:type="paragraph" w:customStyle="1" w:styleId="187">
    <w:name w:val="Style50"/>
    <w:basedOn w:val="1"/>
    <w:unhideWhenUsed/>
    <w:qFormat/>
    <w:uiPriority w:val="0"/>
  </w:style>
  <w:style w:type="paragraph" w:customStyle="1" w:styleId="188">
    <w:name w:val="Char Char1 Char Char Char Char Char Char Char"/>
    <w:basedOn w:val="1"/>
    <w:qFormat/>
    <w:uiPriority w:val="0"/>
    <w:pPr>
      <w:widowControl/>
      <w:spacing w:after="160" w:line="240" w:lineRule="exact"/>
      <w:jc w:val="left"/>
    </w:pPr>
  </w:style>
  <w:style w:type="paragraph" w:customStyle="1" w:styleId="189">
    <w:name w:val="Style59"/>
    <w:basedOn w:val="1"/>
    <w:unhideWhenUsed/>
    <w:qFormat/>
    <w:uiPriority w:val="0"/>
  </w:style>
  <w:style w:type="paragraph" w:customStyle="1" w:styleId="190">
    <w:name w:val="Style27"/>
    <w:basedOn w:val="1"/>
    <w:unhideWhenUsed/>
    <w:qFormat/>
    <w:uiPriority w:val="0"/>
  </w:style>
  <w:style w:type="paragraph" w:customStyle="1" w:styleId="191">
    <w:name w:val="Style61"/>
    <w:basedOn w:val="1"/>
    <w:unhideWhenUsed/>
    <w:qFormat/>
    <w:uiPriority w:val="0"/>
  </w:style>
  <w:style w:type="paragraph" w:customStyle="1" w:styleId="192">
    <w:name w:val="Style80"/>
    <w:basedOn w:val="1"/>
    <w:unhideWhenUsed/>
    <w:qFormat/>
    <w:uiPriority w:val="0"/>
  </w:style>
  <w:style w:type="paragraph" w:customStyle="1" w:styleId="193">
    <w:name w:val="Style12"/>
    <w:basedOn w:val="1"/>
    <w:unhideWhenUsed/>
    <w:qFormat/>
    <w:uiPriority w:val="0"/>
    <w:pPr>
      <w:spacing w:line="564" w:lineRule="exact"/>
      <w:ind w:hanging="115"/>
    </w:pPr>
  </w:style>
  <w:style w:type="paragraph" w:customStyle="1" w:styleId="19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95">
    <w:name w:val="Style46"/>
    <w:basedOn w:val="1"/>
    <w:unhideWhenUsed/>
    <w:qFormat/>
    <w:uiPriority w:val="0"/>
    <w:pPr>
      <w:spacing w:line="672" w:lineRule="exact"/>
    </w:pPr>
  </w:style>
  <w:style w:type="paragraph" w:customStyle="1" w:styleId="196">
    <w:name w:val="Style53"/>
    <w:basedOn w:val="1"/>
    <w:unhideWhenUsed/>
    <w:qFormat/>
    <w:uiPriority w:val="0"/>
    <w:pPr>
      <w:spacing w:line="533" w:lineRule="exact"/>
      <w:ind w:firstLine="581"/>
    </w:pPr>
  </w:style>
  <w:style w:type="paragraph" w:customStyle="1" w:styleId="197">
    <w:name w:val="文档正文"/>
    <w:basedOn w:val="1"/>
    <w:qFormat/>
    <w:uiPriority w:val="0"/>
    <w:pPr>
      <w:suppressAutoHyphens/>
      <w:spacing w:line="312" w:lineRule="atLeast"/>
      <w:ind w:firstLine="567"/>
      <w:jc w:val="left"/>
      <w:textAlignment w:val="baseline"/>
    </w:pPr>
    <w:rPr>
      <w:rFonts w:ascii="长城仿宋" w:hAnsi="长城仿宋" w:eastAsia="长城仿宋" w:cs="Tahoma"/>
      <w:b/>
      <w:w w:val="80"/>
      <w:kern w:val="1"/>
      <w:sz w:val="28"/>
      <w:szCs w:val="20"/>
    </w:rPr>
  </w:style>
  <w:style w:type="paragraph" w:customStyle="1" w:styleId="198">
    <w:name w:val="样式 标题 2 + Times New Roman 四号 非加粗 段前: 5 磅 段后: 0 磅 行距: 固定值 20..."/>
    <w:basedOn w:val="6"/>
    <w:qFormat/>
    <w:uiPriority w:val="0"/>
    <w:pPr>
      <w:spacing w:before="100" w:line="400" w:lineRule="exact"/>
    </w:pPr>
    <w:rPr>
      <w:rFonts w:ascii="Times New Roman" w:hAnsi="Times New Roman" w:eastAsia="黑体"/>
      <w:b w:val="0"/>
      <w:bCs w:val="0"/>
      <w:sz w:val="28"/>
      <w:szCs w:val="20"/>
    </w:rPr>
  </w:style>
  <w:style w:type="paragraph" w:customStyle="1" w:styleId="199">
    <w:name w:val="修订1"/>
    <w:qFormat/>
    <w:uiPriority w:val="0"/>
    <w:rPr>
      <w:rFonts w:ascii="Times New Roman" w:hAnsi="Times New Roman" w:eastAsia="宋体" w:cs="Times New Roman"/>
      <w:kern w:val="2"/>
      <w:sz w:val="21"/>
      <w:szCs w:val="24"/>
      <w:lang w:val="en-US" w:eastAsia="zh-CN" w:bidi="ar-SA"/>
    </w:rPr>
  </w:style>
  <w:style w:type="paragraph" w:customStyle="1" w:styleId="200">
    <w:name w:val="Style16"/>
    <w:basedOn w:val="1"/>
    <w:unhideWhenUsed/>
    <w:qFormat/>
    <w:uiPriority w:val="0"/>
    <w:pPr>
      <w:jc w:val="right"/>
    </w:pPr>
  </w:style>
  <w:style w:type="paragraph" w:customStyle="1" w:styleId="201">
    <w:name w:val="Table Paragraph"/>
    <w:basedOn w:val="1"/>
    <w:qFormat/>
    <w:uiPriority w:val="0"/>
    <w:pPr>
      <w:autoSpaceDE w:val="0"/>
      <w:autoSpaceDN w:val="0"/>
      <w:adjustRightInd w:val="0"/>
      <w:jc w:val="left"/>
    </w:pPr>
    <w:rPr>
      <w:rFonts w:ascii="Calibri" w:hAnsi="Calibri"/>
      <w:kern w:val="0"/>
      <w:sz w:val="24"/>
    </w:rPr>
  </w:style>
  <w:style w:type="paragraph" w:customStyle="1" w:styleId="202">
    <w:name w:val="Style77"/>
    <w:basedOn w:val="1"/>
    <w:unhideWhenUsed/>
    <w:qFormat/>
    <w:uiPriority w:val="0"/>
  </w:style>
  <w:style w:type="paragraph" w:customStyle="1" w:styleId="203">
    <w:name w:val="Style68"/>
    <w:basedOn w:val="1"/>
    <w:unhideWhenUsed/>
    <w:qFormat/>
    <w:uiPriority w:val="0"/>
    <w:pPr>
      <w:spacing w:line="547" w:lineRule="exact"/>
    </w:pPr>
  </w:style>
  <w:style w:type="paragraph" w:customStyle="1" w:styleId="204">
    <w:name w:val="Style58"/>
    <w:basedOn w:val="1"/>
    <w:unhideWhenUsed/>
    <w:qFormat/>
    <w:uiPriority w:val="0"/>
    <w:pPr>
      <w:spacing w:line="413" w:lineRule="exact"/>
    </w:pPr>
  </w:style>
  <w:style w:type="paragraph" w:customStyle="1" w:styleId="205">
    <w:name w:val="表正文"/>
    <w:qFormat/>
    <w:uiPriority w:val="0"/>
    <w:pPr>
      <w:widowControl w:val="0"/>
      <w:ind w:left="840" w:leftChars="350"/>
      <w:jc w:val="both"/>
      <w:outlineLvl w:val="0"/>
    </w:pPr>
    <w:rPr>
      <w:rFonts w:ascii="宋体" w:hAnsi="Times New Roman" w:eastAsia="宋体" w:cs="Times New Roman"/>
      <w:b/>
      <w:sz w:val="24"/>
      <w:lang w:val="en-US" w:eastAsia="zh-CN" w:bidi="ar-SA"/>
    </w:rPr>
  </w:style>
  <w:style w:type="paragraph" w:customStyle="1" w:styleId="206">
    <w:name w:val="Style42"/>
    <w:basedOn w:val="1"/>
    <w:unhideWhenUsed/>
    <w:qFormat/>
    <w:uiPriority w:val="0"/>
    <w:pPr>
      <w:spacing w:line="542" w:lineRule="exact"/>
      <w:ind w:firstLine="547"/>
    </w:pPr>
  </w:style>
  <w:style w:type="paragraph" w:customStyle="1" w:styleId="207">
    <w:name w:val="Style69"/>
    <w:basedOn w:val="1"/>
    <w:unhideWhenUsed/>
    <w:qFormat/>
    <w:uiPriority w:val="0"/>
    <w:pPr>
      <w:spacing w:line="557" w:lineRule="exact"/>
      <w:ind w:firstLine="1666"/>
    </w:pPr>
  </w:style>
  <w:style w:type="paragraph" w:customStyle="1" w:styleId="208">
    <w:name w:val="标题3"/>
    <w:basedOn w:val="5"/>
    <w:qFormat/>
    <w:uiPriority w:val="0"/>
    <w:pPr>
      <w:spacing w:beforeLines="50" w:afterLines="50" w:line="400" w:lineRule="exact"/>
      <w:jc w:val="both"/>
    </w:pPr>
    <w:rPr>
      <w:rFonts w:ascii="宋体" w:hAnsi="宋体"/>
      <w:kern w:val="32"/>
      <w:szCs w:val="32"/>
    </w:rPr>
  </w:style>
  <w:style w:type="paragraph" w:customStyle="1" w:styleId="209">
    <w:name w:val="Char Char1"/>
    <w:basedOn w:val="1"/>
    <w:qFormat/>
    <w:uiPriority w:val="0"/>
    <w:rPr>
      <w:rFonts w:ascii="Tahoma" w:hAnsi="Tahoma"/>
      <w:sz w:val="24"/>
      <w:szCs w:val="20"/>
    </w:rPr>
  </w:style>
  <w:style w:type="paragraph" w:customStyle="1" w:styleId="210">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11">
    <w:name w:val="Style11"/>
    <w:basedOn w:val="1"/>
    <w:unhideWhenUsed/>
    <w:qFormat/>
    <w:uiPriority w:val="0"/>
    <w:pPr>
      <w:spacing w:line="559" w:lineRule="exact"/>
      <w:ind w:firstLine="590"/>
    </w:pPr>
  </w:style>
  <w:style w:type="paragraph" w:customStyle="1" w:styleId="212">
    <w:name w:val="Style23"/>
    <w:basedOn w:val="1"/>
    <w:unhideWhenUsed/>
    <w:qFormat/>
    <w:uiPriority w:val="0"/>
  </w:style>
  <w:style w:type="paragraph" w:customStyle="1" w:styleId="213">
    <w:name w:val="标准正文"/>
    <w:basedOn w:val="1"/>
    <w:qFormat/>
    <w:uiPriority w:val="0"/>
    <w:pPr>
      <w:autoSpaceDE w:val="0"/>
      <w:autoSpaceDN w:val="0"/>
      <w:adjustRightInd w:val="0"/>
      <w:snapToGrid w:val="0"/>
      <w:spacing w:afterLines="50" w:line="480" w:lineRule="exact"/>
      <w:jc w:val="left"/>
    </w:pPr>
    <w:rPr>
      <w:rFonts w:ascii="宋体"/>
      <w:kern w:val="0"/>
      <w:szCs w:val="20"/>
      <w:lang w:val="zh-CN"/>
    </w:rPr>
  </w:style>
  <w:style w:type="paragraph" w:customStyle="1" w:styleId="214">
    <w:name w:val="列出段落1"/>
    <w:basedOn w:val="1"/>
    <w:qFormat/>
    <w:uiPriority w:val="34"/>
    <w:pPr>
      <w:ind w:firstLine="420" w:firstLineChars="200"/>
    </w:pPr>
    <w:rPr>
      <w:rFonts w:ascii="Calibri" w:hAnsi="Calibri"/>
      <w:szCs w:val="22"/>
    </w:rPr>
  </w:style>
  <w:style w:type="paragraph" w:customStyle="1" w:styleId="215">
    <w:name w:val="样式 标题 2 + 宋体 五号 行距: 单倍行距"/>
    <w:basedOn w:val="6"/>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216">
    <w:name w:val="1 Char Char Char Char"/>
    <w:basedOn w:val="1"/>
    <w:qFormat/>
    <w:uiPriority w:val="0"/>
  </w:style>
  <w:style w:type="paragraph" w:customStyle="1" w:styleId="217">
    <w:name w:val="Style13"/>
    <w:basedOn w:val="1"/>
    <w:unhideWhenUsed/>
    <w:qFormat/>
    <w:uiPriority w:val="0"/>
  </w:style>
  <w:style w:type="paragraph" w:customStyle="1" w:styleId="218">
    <w:name w:val="列出段落2"/>
    <w:basedOn w:val="1"/>
    <w:qFormat/>
    <w:uiPriority w:val="0"/>
    <w:pPr>
      <w:ind w:firstLine="420" w:firstLineChars="200"/>
    </w:pPr>
    <w:rPr>
      <w:rFonts w:ascii="Calibri" w:hAnsi="Calibri" w:cs="Calibri"/>
      <w:szCs w:val="21"/>
    </w:rPr>
  </w:style>
  <w:style w:type="paragraph" w:customStyle="1" w:styleId="219">
    <w:name w:val="Style65"/>
    <w:basedOn w:val="1"/>
    <w:unhideWhenUsed/>
    <w:qFormat/>
    <w:uiPriority w:val="0"/>
  </w:style>
  <w:style w:type="paragraph" w:customStyle="1" w:styleId="220">
    <w:name w:val="Char1 Char Char Char"/>
    <w:basedOn w:val="1"/>
    <w:qFormat/>
    <w:uiPriority w:val="0"/>
    <w:pPr>
      <w:widowControl/>
      <w:spacing w:after="160" w:line="240" w:lineRule="exact"/>
      <w:jc w:val="left"/>
    </w:pPr>
    <w:rPr>
      <w:kern w:val="0"/>
      <w:sz w:val="24"/>
      <w:szCs w:val="20"/>
    </w:rPr>
  </w:style>
  <w:style w:type="paragraph" w:customStyle="1" w:styleId="221">
    <w:name w:val="Style70"/>
    <w:basedOn w:val="1"/>
    <w:unhideWhenUsed/>
    <w:qFormat/>
    <w:uiPriority w:val="0"/>
    <w:pPr>
      <w:spacing w:line="549" w:lineRule="exact"/>
      <w:ind w:firstLine="686"/>
    </w:pPr>
  </w:style>
  <w:style w:type="paragraph" w:customStyle="1" w:styleId="222">
    <w:name w:val="标题2"/>
    <w:basedOn w:val="40"/>
    <w:qFormat/>
    <w:uiPriority w:val="0"/>
    <w:pPr>
      <w:spacing w:after="240"/>
      <w:jc w:val="left"/>
    </w:pPr>
    <w:rPr>
      <w:sz w:val="30"/>
    </w:rPr>
  </w:style>
  <w:style w:type="paragraph" w:customStyle="1" w:styleId="223">
    <w:name w:val="前言、引言标题"/>
    <w:next w:val="1"/>
    <w:qFormat/>
    <w:uiPriority w:val="0"/>
    <w:pPr>
      <w:shd w:val="clear" w:color="FFFFFF" w:fill="FFFFFF"/>
      <w:tabs>
        <w:tab w:val="left" w:pos="360"/>
        <w:tab w:val="left" w:pos="720"/>
      </w:tabs>
      <w:spacing w:before="640" w:after="560"/>
      <w:ind w:left="720" w:hanging="720"/>
      <w:jc w:val="center"/>
      <w:outlineLvl w:val="0"/>
    </w:pPr>
    <w:rPr>
      <w:rFonts w:ascii="黑体" w:hAnsi="Times New Roman" w:eastAsia="黑体" w:cs="Times New Roman"/>
      <w:sz w:val="32"/>
      <w:lang w:val="en-US" w:eastAsia="zh-CN" w:bidi="ar-SA"/>
    </w:rPr>
  </w:style>
  <w:style w:type="paragraph" w:customStyle="1" w:styleId="224">
    <w:name w:val="Char2"/>
    <w:basedOn w:val="1"/>
    <w:qFormat/>
    <w:uiPriority w:val="0"/>
    <w:pPr>
      <w:widowControl/>
      <w:spacing w:after="160" w:line="240" w:lineRule="exact"/>
      <w:jc w:val="left"/>
    </w:pPr>
    <w:rPr>
      <w:rFonts w:ascii="Verdana" w:hAnsi="Verdana"/>
      <w:kern w:val="0"/>
      <w:sz w:val="20"/>
      <w:szCs w:val="20"/>
      <w:lang w:eastAsia="en-US"/>
    </w:rPr>
  </w:style>
  <w:style w:type="paragraph" w:customStyle="1" w:styleId="225">
    <w:name w:val="Char Char1 Char Char Char Char Char1 Char Char Char Char"/>
    <w:basedOn w:val="16"/>
    <w:qFormat/>
    <w:uiPriority w:val="0"/>
    <w:rPr>
      <w:rFonts w:ascii="Tahoma" w:hAnsi="Tahoma"/>
    </w:rPr>
  </w:style>
  <w:style w:type="paragraph" w:customStyle="1" w:styleId="226">
    <w:name w:val="标题 1 +"/>
    <w:basedOn w:val="5"/>
    <w:next w:val="1"/>
    <w:qFormat/>
    <w:uiPriority w:val="0"/>
    <w:pPr>
      <w:keepLines/>
      <w:spacing w:line="600" w:lineRule="auto"/>
    </w:pPr>
    <w:rPr>
      <w:rFonts w:eastAsia="黑体"/>
      <w:kern w:val="0"/>
      <w:sz w:val="32"/>
      <w:szCs w:val="32"/>
    </w:rPr>
  </w:style>
  <w:style w:type="paragraph" w:customStyle="1" w:styleId="227">
    <w:name w:val="样式1"/>
    <w:basedOn w:val="1"/>
    <w:link w:val="273"/>
    <w:qFormat/>
    <w:uiPriority w:val="0"/>
    <w:pPr>
      <w:tabs>
        <w:tab w:val="left" w:pos="360"/>
      </w:tabs>
      <w:adjustRightInd w:val="0"/>
      <w:ind w:left="360" w:hanging="360"/>
      <w:textAlignment w:val="baseline"/>
    </w:pPr>
    <w:rPr>
      <w:rFonts w:ascii="宋体" w:hAnsi="宋体"/>
      <w:kern w:val="0"/>
      <w:szCs w:val="21"/>
      <w:lang w:val="zh-CN"/>
    </w:rPr>
  </w:style>
  <w:style w:type="paragraph" w:customStyle="1" w:styleId="228">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229">
    <w:name w:val="附录标识"/>
    <w:basedOn w:val="223"/>
    <w:qFormat/>
    <w:uiPriority w:val="0"/>
    <w:pPr>
      <w:tabs>
        <w:tab w:val="left" w:pos="6405"/>
        <w:tab w:val="clear" w:pos="360"/>
        <w:tab w:val="clear" w:pos="720"/>
      </w:tabs>
      <w:spacing w:after="200"/>
    </w:pPr>
    <w:rPr>
      <w:sz w:val="21"/>
    </w:rPr>
  </w:style>
  <w:style w:type="paragraph" w:customStyle="1" w:styleId="230">
    <w:name w:val="Char Char Char1 Char"/>
    <w:basedOn w:val="1"/>
    <w:qFormat/>
    <w:uiPriority w:val="0"/>
    <w:pPr>
      <w:tabs>
        <w:tab w:val="left" w:pos="360"/>
      </w:tabs>
      <w:snapToGrid w:val="0"/>
      <w:spacing w:line="360" w:lineRule="auto"/>
    </w:pPr>
    <w:rPr>
      <w:rFonts w:eastAsia="仿宋_GB2312" w:cs="宋体"/>
      <w:sz w:val="24"/>
    </w:rPr>
  </w:style>
  <w:style w:type="paragraph" w:customStyle="1" w:styleId="231">
    <w:name w:val="Style29"/>
    <w:basedOn w:val="1"/>
    <w:unhideWhenUsed/>
    <w:qFormat/>
    <w:uiPriority w:val="0"/>
    <w:pPr>
      <w:spacing w:line="547" w:lineRule="exact"/>
      <w:ind w:firstLine="547"/>
    </w:pPr>
  </w:style>
  <w:style w:type="paragraph" w:customStyle="1" w:styleId="232">
    <w:name w:val="Style34"/>
    <w:basedOn w:val="1"/>
    <w:unhideWhenUsed/>
    <w:qFormat/>
    <w:uiPriority w:val="0"/>
    <w:pPr>
      <w:spacing w:line="375" w:lineRule="exact"/>
    </w:pPr>
  </w:style>
  <w:style w:type="paragraph" w:customStyle="1" w:styleId="233">
    <w:name w:val="默认段落字体 Para Char Char Char Char Char Char Char Char Char Char Char Char Char Char Char Char Char Char Char"/>
    <w:basedOn w:val="1"/>
    <w:qFormat/>
    <w:uiPriority w:val="0"/>
  </w:style>
  <w:style w:type="paragraph" w:customStyle="1" w:styleId="234">
    <w:name w:val="Table Text"/>
    <w:qFormat/>
    <w:uiPriority w:val="0"/>
    <w:pPr>
      <w:autoSpaceDE w:val="0"/>
      <w:autoSpaceDN w:val="0"/>
      <w:spacing w:before="80" w:after="80"/>
      <w:jc w:val="both"/>
      <w:textAlignment w:val="bottom"/>
    </w:pPr>
    <w:rPr>
      <w:rFonts w:ascii="Arial" w:hAnsi="Arial" w:eastAsia="宋体" w:cs="Arial Narrow"/>
      <w:sz w:val="21"/>
      <w:lang w:val="en-US" w:eastAsia="zh-CN" w:bidi="ar-SA"/>
    </w:rPr>
  </w:style>
  <w:style w:type="paragraph" w:customStyle="1" w:styleId="235">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236">
    <w:name w:val="Style74"/>
    <w:basedOn w:val="1"/>
    <w:unhideWhenUsed/>
    <w:qFormat/>
    <w:uiPriority w:val="0"/>
    <w:pPr>
      <w:spacing w:line="437" w:lineRule="exact"/>
    </w:pPr>
  </w:style>
  <w:style w:type="paragraph" w:customStyle="1" w:styleId="237">
    <w:name w:val="Style28"/>
    <w:basedOn w:val="1"/>
    <w:unhideWhenUsed/>
    <w:qFormat/>
    <w:uiPriority w:val="0"/>
    <w:pPr>
      <w:spacing w:line="552" w:lineRule="exact"/>
      <w:ind w:firstLine="547"/>
    </w:pPr>
  </w:style>
  <w:style w:type="paragraph" w:customStyle="1" w:styleId="238">
    <w:name w:val="Style24"/>
    <w:basedOn w:val="1"/>
    <w:unhideWhenUsed/>
    <w:qFormat/>
    <w:uiPriority w:val="0"/>
  </w:style>
  <w:style w:type="paragraph" w:customStyle="1" w:styleId="239">
    <w:name w:val="Style63"/>
    <w:basedOn w:val="1"/>
    <w:unhideWhenUsed/>
    <w:qFormat/>
    <w:uiPriority w:val="0"/>
    <w:pPr>
      <w:spacing w:line="564" w:lineRule="exact"/>
      <w:ind w:firstLine="682"/>
    </w:pPr>
  </w:style>
  <w:style w:type="paragraph" w:customStyle="1" w:styleId="24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Style45"/>
    <w:basedOn w:val="1"/>
    <w:unhideWhenUsed/>
    <w:qFormat/>
    <w:uiPriority w:val="0"/>
  </w:style>
  <w:style w:type="paragraph" w:customStyle="1" w:styleId="242">
    <w:name w:val="p16"/>
    <w:basedOn w:val="1"/>
    <w:qFormat/>
    <w:uiPriority w:val="0"/>
    <w:pPr>
      <w:widowControl/>
      <w:jc w:val="left"/>
    </w:pPr>
    <w:rPr>
      <w:kern w:val="0"/>
      <w:szCs w:val="21"/>
    </w:rPr>
  </w:style>
  <w:style w:type="paragraph" w:customStyle="1" w:styleId="243">
    <w:name w:val="Style64"/>
    <w:basedOn w:val="1"/>
    <w:unhideWhenUsed/>
    <w:qFormat/>
    <w:uiPriority w:val="0"/>
  </w:style>
  <w:style w:type="paragraph" w:customStyle="1" w:styleId="244">
    <w:name w:val="Style72"/>
    <w:basedOn w:val="1"/>
    <w:unhideWhenUsed/>
    <w:qFormat/>
    <w:uiPriority w:val="0"/>
  </w:style>
  <w:style w:type="paragraph" w:customStyle="1" w:styleId="245">
    <w:name w:val="Char Char Char"/>
    <w:basedOn w:val="1"/>
    <w:qFormat/>
    <w:uiPriority w:val="0"/>
    <w:rPr>
      <w:rFonts w:ascii="宋体" w:hAnsi="宋体"/>
      <w:b/>
      <w:sz w:val="28"/>
      <w:szCs w:val="28"/>
    </w:rPr>
  </w:style>
  <w:style w:type="paragraph" w:customStyle="1" w:styleId="246">
    <w:name w:val="Style21"/>
    <w:basedOn w:val="1"/>
    <w:unhideWhenUsed/>
    <w:qFormat/>
    <w:uiPriority w:val="0"/>
    <w:pPr>
      <w:spacing w:line="566" w:lineRule="exact"/>
      <w:ind w:firstLine="682"/>
    </w:pPr>
  </w:style>
  <w:style w:type="paragraph" w:customStyle="1" w:styleId="247">
    <w:name w:val="Style26"/>
    <w:basedOn w:val="1"/>
    <w:unhideWhenUsed/>
    <w:qFormat/>
    <w:uiPriority w:val="0"/>
  </w:style>
  <w:style w:type="paragraph" w:customStyle="1" w:styleId="248">
    <w:name w:val="表格内容"/>
    <w:basedOn w:val="2"/>
    <w:qFormat/>
    <w:uiPriority w:val="0"/>
    <w:pPr>
      <w:suppressLineNumbers/>
      <w:suppressAutoHyphens/>
      <w:jc w:val="left"/>
    </w:pPr>
    <w:rPr>
      <w:rFonts w:cs="Tahoma"/>
      <w:kern w:val="0"/>
      <w:sz w:val="24"/>
    </w:rPr>
  </w:style>
  <w:style w:type="paragraph" w:customStyle="1" w:styleId="249">
    <w:name w:val="Style47"/>
    <w:basedOn w:val="1"/>
    <w:unhideWhenUsed/>
    <w:qFormat/>
    <w:uiPriority w:val="0"/>
  </w:style>
  <w:style w:type="paragraph" w:customStyle="1" w:styleId="250">
    <w:name w:val="Style44"/>
    <w:basedOn w:val="1"/>
    <w:unhideWhenUsed/>
    <w:qFormat/>
    <w:uiPriority w:val="0"/>
  </w:style>
  <w:style w:type="paragraph" w:customStyle="1" w:styleId="251">
    <w:name w:val="Char Char Char Char Char Char Char11"/>
    <w:basedOn w:val="1"/>
    <w:qFormat/>
    <w:uiPriority w:val="0"/>
    <w:pPr>
      <w:snapToGrid w:val="0"/>
      <w:spacing w:line="360" w:lineRule="auto"/>
      <w:ind w:firstLine="200" w:firstLineChars="200"/>
    </w:pPr>
    <w:rPr>
      <w:rFonts w:eastAsia="仿宋_GB2312"/>
      <w:sz w:val="24"/>
    </w:rPr>
  </w:style>
  <w:style w:type="paragraph" w:customStyle="1" w:styleId="252">
    <w:name w:val="Style10"/>
    <w:basedOn w:val="1"/>
    <w:unhideWhenUsed/>
    <w:qFormat/>
    <w:uiPriority w:val="0"/>
    <w:pPr>
      <w:spacing w:line="538" w:lineRule="exact"/>
    </w:pPr>
  </w:style>
  <w:style w:type="paragraph" w:styleId="253">
    <w:name w:val="List Paragraph"/>
    <w:basedOn w:val="1"/>
    <w:link w:val="272"/>
    <w:qFormat/>
    <w:uiPriority w:val="0"/>
    <w:pPr>
      <w:ind w:firstLine="420" w:firstLineChars="200"/>
    </w:pPr>
    <w:rPr>
      <w:rFonts w:ascii="Calibri" w:hAnsi="Calibri"/>
      <w:szCs w:val="22"/>
      <w:lang w:val="zh-CN"/>
    </w:rPr>
  </w:style>
  <w:style w:type="paragraph" w:customStyle="1" w:styleId="254">
    <w:name w:val="Style8"/>
    <w:basedOn w:val="1"/>
    <w:unhideWhenUsed/>
    <w:qFormat/>
    <w:uiPriority w:val="0"/>
    <w:pPr>
      <w:spacing w:line="566" w:lineRule="exact"/>
      <w:jc w:val="center"/>
    </w:pPr>
  </w:style>
  <w:style w:type="paragraph" w:customStyle="1" w:styleId="255">
    <w:name w:val="Style54"/>
    <w:basedOn w:val="1"/>
    <w:unhideWhenUsed/>
    <w:qFormat/>
    <w:uiPriority w:val="0"/>
  </w:style>
  <w:style w:type="paragraph" w:customStyle="1" w:styleId="256">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57">
    <w:name w:val="Style81"/>
    <w:basedOn w:val="1"/>
    <w:unhideWhenUsed/>
    <w:qFormat/>
    <w:uiPriority w:val="0"/>
    <w:pPr>
      <w:spacing w:line="547" w:lineRule="exact"/>
    </w:pPr>
  </w:style>
  <w:style w:type="paragraph" w:customStyle="1" w:styleId="258">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259">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0">
    <w:name w:val="Style56"/>
    <w:basedOn w:val="1"/>
    <w:unhideWhenUsed/>
    <w:qFormat/>
    <w:uiPriority w:val="0"/>
  </w:style>
  <w:style w:type="paragraph" w:customStyle="1" w:styleId="261">
    <w:name w:val="Style5"/>
    <w:basedOn w:val="1"/>
    <w:unhideWhenUsed/>
    <w:qFormat/>
    <w:uiPriority w:val="0"/>
  </w:style>
  <w:style w:type="paragraph" w:customStyle="1" w:styleId="262">
    <w:name w:val="Style67"/>
    <w:basedOn w:val="1"/>
    <w:unhideWhenUsed/>
    <w:qFormat/>
    <w:uiPriority w:val="0"/>
    <w:pPr>
      <w:spacing w:line="566" w:lineRule="exact"/>
      <w:ind w:firstLine="552"/>
    </w:pPr>
  </w:style>
  <w:style w:type="paragraph" w:customStyle="1" w:styleId="263">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264">
    <w:name w:val="Char Char Char1"/>
    <w:basedOn w:val="1"/>
    <w:qFormat/>
    <w:uiPriority w:val="0"/>
    <w:rPr>
      <w:rFonts w:ascii="宋体" w:hAnsi="宋体"/>
      <w:b/>
      <w:sz w:val="28"/>
      <w:szCs w:val="28"/>
    </w:rPr>
  </w:style>
  <w:style w:type="paragraph" w:customStyle="1" w:styleId="265">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266">
    <w:name w:val="Char Char Char1 Char1"/>
    <w:basedOn w:val="1"/>
    <w:qFormat/>
    <w:uiPriority w:val="0"/>
    <w:pPr>
      <w:tabs>
        <w:tab w:val="left" w:pos="360"/>
      </w:tabs>
      <w:snapToGrid w:val="0"/>
      <w:spacing w:line="360" w:lineRule="auto"/>
    </w:pPr>
    <w:rPr>
      <w:rFonts w:eastAsia="仿宋_GB2312" w:cs="宋体"/>
      <w:sz w:val="24"/>
    </w:rPr>
  </w:style>
  <w:style w:type="character" w:customStyle="1" w:styleId="267">
    <w:name w:val="fontstyle01"/>
    <w:qFormat/>
    <w:uiPriority w:val="0"/>
    <w:rPr>
      <w:rFonts w:hint="eastAsia" w:ascii="宋体" w:hAnsi="宋体" w:eastAsia="宋体"/>
      <w:color w:val="000000"/>
      <w:sz w:val="24"/>
      <w:szCs w:val="24"/>
    </w:rPr>
  </w:style>
  <w:style w:type="character" w:customStyle="1" w:styleId="268">
    <w:name w:val="fontstyle11"/>
    <w:qFormat/>
    <w:uiPriority w:val="0"/>
    <w:rPr>
      <w:rFonts w:hint="default" w:ascii="TimesNewRomanPSMT" w:hAnsi="TimesNewRomanPSMT"/>
      <w:color w:val="000000"/>
      <w:sz w:val="24"/>
      <w:szCs w:val="24"/>
    </w:rPr>
  </w:style>
  <w:style w:type="paragraph" w:customStyle="1" w:styleId="269">
    <w:name w:val="TOC 标题1"/>
    <w:basedOn w:val="5"/>
    <w:next w:val="1"/>
    <w:semiHidden/>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270">
    <w:name w:val="fontstyle21"/>
    <w:qFormat/>
    <w:uiPriority w:val="0"/>
    <w:rPr>
      <w:rFonts w:hint="eastAsia" w:ascii="宋体" w:hAnsi="宋体" w:eastAsia="宋体"/>
      <w:color w:val="993300"/>
      <w:sz w:val="24"/>
      <w:szCs w:val="24"/>
    </w:rPr>
  </w:style>
  <w:style w:type="character" w:customStyle="1" w:styleId="271">
    <w:name w:val="fontstyle31"/>
    <w:qFormat/>
    <w:uiPriority w:val="0"/>
    <w:rPr>
      <w:rFonts w:hint="default" w:ascii="Arial" w:hAnsi="Arial" w:cs="Arial"/>
      <w:color w:val="993300"/>
      <w:sz w:val="24"/>
      <w:szCs w:val="24"/>
    </w:rPr>
  </w:style>
  <w:style w:type="character" w:customStyle="1" w:styleId="272">
    <w:name w:val="列出段落 Char"/>
    <w:link w:val="253"/>
    <w:qFormat/>
    <w:uiPriority w:val="0"/>
    <w:rPr>
      <w:rFonts w:ascii="Calibri" w:hAnsi="Calibri"/>
      <w:kern w:val="2"/>
      <w:sz w:val="21"/>
      <w:szCs w:val="22"/>
    </w:rPr>
  </w:style>
  <w:style w:type="character" w:customStyle="1" w:styleId="273">
    <w:name w:val="样式1 Char Char"/>
    <w:link w:val="227"/>
    <w:qFormat/>
    <w:uiPriority w:val="0"/>
    <w:rPr>
      <w:rFonts w:ascii="宋体" w:hAnsi="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D401F-59CF-4B80-AE44-42143CC40FC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73</Pages>
  <Words>6019</Words>
  <Characters>34310</Characters>
  <Lines>285</Lines>
  <Paragraphs>80</Paragraphs>
  <TotalTime>55</TotalTime>
  <ScaleCrop>false</ScaleCrop>
  <LinksUpToDate>false</LinksUpToDate>
  <CharactersWithSpaces>40249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2020-01-15T07:35:00Z</dcterms:created>
  <dc:creator>微软用户</dc:creator>
  <cp:lastModifiedBy>SEVEN 衣橱18873357858</cp:lastModifiedBy>
  <cp:lastPrinted>2020-11-25T03:29:14Z</cp:lastPrinted>
  <dcterms:modified xsi:type="dcterms:W3CDTF">2020-11-25T04:06:37Z</dcterms:modified>
  <dc:title>附件2:</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