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461" w:type="dxa"/>
        <w:jc w:val="center"/>
        <w:tblLayout w:type="fixed"/>
        <w:tblCellMar>
          <w:top w:w="0" w:type="dxa"/>
          <w:left w:w="108" w:type="dxa"/>
          <w:bottom w:w="0" w:type="dxa"/>
          <w:right w:w="108" w:type="dxa"/>
        </w:tblCellMar>
      </w:tblPr>
      <w:tblGrid>
        <w:gridCol w:w="823"/>
        <w:gridCol w:w="1364"/>
        <w:gridCol w:w="2493"/>
        <w:gridCol w:w="6946"/>
        <w:gridCol w:w="2835"/>
      </w:tblGrid>
      <w:tr>
        <w:tblPrEx>
          <w:tblCellMar>
            <w:top w:w="0" w:type="dxa"/>
            <w:left w:w="108" w:type="dxa"/>
            <w:bottom w:w="0" w:type="dxa"/>
            <w:right w:w="108" w:type="dxa"/>
          </w:tblCellMar>
        </w:tblPrEx>
        <w:trPr>
          <w:trHeight w:val="360" w:hRule="atLeast"/>
          <w:jc w:val="center"/>
        </w:trPr>
        <w:tc>
          <w:tcPr>
            <w:tcW w:w="11626" w:type="dxa"/>
            <w:gridSpan w:val="4"/>
            <w:tcBorders>
              <w:top w:val="nil"/>
              <w:left w:val="nil"/>
              <w:bottom w:val="nil"/>
              <w:right w:val="nil"/>
            </w:tcBorders>
            <w:noWrap w:val="0"/>
            <w:vAlign w:val="center"/>
          </w:tcPr>
          <w:p>
            <w:pPr>
              <w:widowControl/>
              <w:jc w:val="left"/>
              <w:textAlignment w:val="center"/>
              <w:rPr>
                <w:rFonts w:hint="default" w:ascii="Times New Roman" w:hAnsi="Times New Roman" w:eastAsia="黑体" w:cs="Times New Roman"/>
                <w:b/>
                <w:color w:val="000000"/>
                <w:sz w:val="32"/>
                <w:szCs w:val="28"/>
              </w:rPr>
            </w:pPr>
            <w:r>
              <w:rPr>
                <w:rFonts w:hint="default" w:ascii="Times New Roman" w:hAnsi="Times New Roman" w:eastAsia="黑体" w:cs="Times New Roman"/>
                <w:b/>
                <w:color w:val="000000"/>
                <w:kern w:val="0"/>
                <w:sz w:val="32"/>
                <w:szCs w:val="28"/>
                <w:lang w:bidi="ar"/>
              </w:rPr>
              <w:t>附件</w:t>
            </w:r>
          </w:p>
        </w:tc>
        <w:tc>
          <w:tcPr>
            <w:tcW w:w="2835" w:type="dxa"/>
            <w:tcBorders>
              <w:top w:val="nil"/>
              <w:left w:val="nil"/>
              <w:bottom w:val="nil"/>
              <w:right w:val="nil"/>
            </w:tcBorders>
            <w:noWrap w:val="0"/>
            <w:vAlign w:val="center"/>
          </w:tcPr>
          <w:p>
            <w:pPr>
              <w:rPr>
                <w:rFonts w:hint="default" w:ascii="Times New Roman" w:hAnsi="Times New Roman" w:eastAsia="黑体" w:cs="Times New Roman"/>
                <w:color w:val="000000"/>
                <w:sz w:val="32"/>
              </w:rPr>
            </w:pPr>
          </w:p>
        </w:tc>
      </w:tr>
      <w:tr>
        <w:tblPrEx>
          <w:tblCellMar>
            <w:top w:w="0" w:type="dxa"/>
            <w:left w:w="108" w:type="dxa"/>
            <w:bottom w:w="0" w:type="dxa"/>
            <w:right w:w="108" w:type="dxa"/>
          </w:tblCellMar>
        </w:tblPrEx>
        <w:trPr>
          <w:trHeight w:val="545" w:hRule="atLeast"/>
          <w:jc w:val="center"/>
        </w:trPr>
        <w:tc>
          <w:tcPr>
            <w:tcW w:w="14461" w:type="dxa"/>
            <w:gridSpan w:val="5"/>
            <w:tcBorders>
              <w:top w:val="nil"/>
              <w:left w:val="nil"/>
              <w:bottom w:val="nil"/>
              <w:right w:val="nil"/>
            </w:tcBorders>
            <w:noWrap w:val="0"/>
            <w:vAlign w:val="center"/>
          </w:tcPr>
          <w:p>
            <w:pPr>
              <w:widowControl/>
              <w:jc w:val="center"/>
              <w:textAlignment w:val="center"/>
              <w:rPr>
                <w:rFonts w:hint="default" w:ascii="Times New Roman" w:hAnsi="Times New Roman" w:eastAsia="方正小标宋_GBK" w:cs="Times New Roman"/>
                <w:b/>
                <w:color w:val="000000"/>
                <w:sz w:val="40"/>
                <w:szCs w:val="40"/>
              </w:rPr>
            </w:pPr>
            <w:bookmarkStart w:id="0" w:name="_GoBack"/>
            <w:r>
              <w:rPr>
                <w:rFonts w:hint="default" w:ascii="Times New Roman" w:hAnsi="Times New Roman" w:eastAsia="方正小标宋_GBK" w:cs="Times New Roman"/>
                <w:b/>
                <w:color w:val="000000"/>
                <w:kern w:val="0"/>
                <w:sz w:val="36"/>
                <w:szCs w:val="36"/>
                <w:lang w:bidi="ar"/>
              </w:rPr>
              <w:t>2024年度湖南水利工程乙级质量检测单位“双随机、一公开”抽查结果</w:t>
            </w:r>
            <w:bookmarkEnd w:id="0"/>
          </w:p>
        </w:tc>
      </w:tr>
      <w:tr>
        <w:tblPrEx>
          <w:tblCellMar>
            <w:top w:w="0" w:type="dxa"/>
            <w:left w:w="108" w:type="dxa"/>
            <w:bottom w:w="0" w:type="dxa"/>
            <w:right w:w="108"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黑体" w:cs="Times New Roman"/>
                <w:b/>
                <w:color w:val="000000"/>
                <w:szCs w:val="21"/>
              </w:rPr>
            </w:pPr>
            <w:r>
              <w:rPr>
                <w:rFonts w:hint="default" w:ascii="Times New Roman" w:hAnsi="Times New Roman" w:eastAsia="黑体" w:cs="Times New Roman"/>
                <w:b/>
                <w:color w:val="000000"/>
                <w:kern w:val="0"/>
                <w:szCs w:val="21"/>
                <w:lang w:bidi="ar"/>
              </w:rPr>
              <w:t>序号</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黑体" w:cs="Times New Roman"/>
                <w:b/>
                <w:color w:val="000000"/>
                <w:szCs w:val="21"/>
              </w:rPr>
            </w:pPr>
            <w:r>
              <w:rPr>
                <w:rFonts w:hint="default" w:ascii="Times New Roman" w:hAnsi="Times New Roman" w:eastAsia="黑体" w:cs="Times New Roman"/>
                <w:b/>
                <w:color w:val="000000"/>
                <w:kern w:val="0"/>
                <w:szCs w:val="21"/>
                <w:lang w:bidi="ar"/>
              </w:rPr>
              <w:t>检查对象</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hint="default" w:ascii="Times New Roman" w:hAnsi="Times New Roman" w:eastAsia="黑体" w:cs="Times New Roman"/>
                <w:b/>
                <w:color w:val="000000"/>
                <w:kern w:val="0"/>
                <w:szCs w:val="21"/>
                <w:lang w:bidi="ar"/>
              </w:rPr>
            </w:pPr>
            <w:r>
              <w:rPr>
                <w:rFonts w:hint="default" w:ascii="Times New Roman" w:hAnsi="Times New Roman" w:eastAsia="黑体" w:cs="Times New Roman"/>
                <w:b/>
                <w:color w:val="000000"/>
                <w:kern w:val="0"/>
                <w:szCs w:val="21"/>
                <w:lang w:bidi="ar"/>
              </w:rPr>
              <w:t>企业统一社会信用</w:t>
            </w:r>
          </w:p>
          <w:p>
            <w:pPr>
              <w:widowControl/>
              <w:autoSpaceDE w:val="0"/>
              <w:autoSpaceDN w:val="0"/>
              <w:spacing w:line="240" w:lineRule="exact"/>
              <w:jc w:val="center"/>
              <w:textAlignment w:val="center"/>
              <w:rPr>
                <w:rFonts w:hint="default" w:ascii="Times New Roman" w:hAnsi="Times New Roman" w:eastAsia="黑体" w:cs="Times New Roman"/>
                <w:b/>
                <w:color w:val="000000"/>
                <w:szCs w:val="21"/>
              </w:rPr>
            </w:pPr>
            <w:r>
              <w:rPr>
                <w:rFonts w:hint="default" w:ascii="Times New Roman" w:hAnsi="Times New Roman" w:eastAsia="黑体" w:cs="Times New Roman"/>
                <w:b/>
                <w:color w:val="000000"/>
                <w:kern w:val="0"/>
                <w:szCs w:val="21"/>
                <w:lang w:bidi="ar"/>
              </w:rPr>
              <w:t>代码</w:t>
            </w:r>
          </w:p>
        </w:tc>
        <w:tc>
          <w:tcPr>
            <w:tcW w:w="6946"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hint="default" w:ascii="Times New Roman" w:hAnsi="Times New Roman" w:eastAsia="黑体" w:cs="Times New Roman"/>
                <w:b/>
                <w:color w:val="000000"/>
                <w:szCs w:val="21"/>
              </w:rPr>
            </w:pPr>
            <w:r>
              <w:rPr>
                <w:rFonts w:hint="default" w:ascii="Times New Roman" w:hAnsi="Times New Roman" w:eastAsia="黑体" w:cs="Times New Roman"/>
                <w:b/>
                <w:color w:val="000000"/>
                <w:kern w:val="0"/>
                <w:szCs w:val="21"/>
                <w:lang w:bidi="ar"/>
              </w:rPr>
              <w:t>发现问题</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hint="default" w:ascii="Times New Roman" w:hAnsi="Times New Roman" w:eastAsia="黑体" w:cs="Times New Roman"/>
                <w:b/>
                <w:color w:val="000000"/>
                <w:szCs w:val="21"/>
              </w:rPr>
            </w:pPr>
            <w:r>
              <w:rPr>
                <w:rFonts w:hint="default" w:ascii="Times New Roman" w:hAnsi="Times New Roman" w:eastAsia="黑体" w:cs="Times New Roman"/>
                <w:b/>
                <w:color w:val="000000"/>
                <w:kern w:val="0"/>
                <w:szCs w:val="21"/>
                <w:lang w:bidi="ar"/>
              </w:rPr>
              <w:t>处理意见</w:t>
            </w:r>
          </w:p>
        </w:tc>
      </w:tr>
      <w:tr>
        <w:tblPrEx>
          <w:tblCellMar>
            <w:top w:w="0" w:type="dxa"/>
            <w:left w:w="108" w:type="dxa"/>
            <w:bottom w:w="0" w:type="dxa"/>
            <w:right w:w="108" w:type="dxa"/>
          </w:tblCellMar>
        </w:tblPrEx>
        <w:trPr>
          <w:trHeight w:val="1855"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cs="Times New Roman"/>
                <w:color w:val="000000"/>
                <w:szCs w:val="21"/>
              </w:rPr>
              <w:t>1</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bidi="ar"/>
              </w:rPr>
              <w:t>湘潭金湘技术开发有限公司</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91430300727948222W</w:t>
            </w:r>
          </w:p>
        </w:tc>
        <w:tc>
          <w:tcPr>
            <w:tcW w:w="6946"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szCs w:val="21"/>
                <w:lang w:bidi="ar"/>
              </w:rPr>
            </w:pPr>
            <w:r>
              <w:rPr>
                <w:rFonts w:hint="default" w:ascii="Times New Roman" w:hAnsi="Times New Roman" w:eastAsia="仿宋_GB2312" w:cs="Times New Roman"/>
                <w:color w:val="000000"/>
                <w:szCs w:val="21"/>
                <w:lang w:bidi="ar"/>
              </w:rPr>
              <w:t>1.技术负责人已于2023年12月离职，实际技术负责人与资质等级证书不符；</w:t>
            </w:r>
          </w:p>
          <w:p>
            <w:pPr>
              <w:widowControl/>
              <w:autoSpaceDE w:val="0"/>
              <w:autoSpaceDN w:val="0"/>
              <w:spacing w:line="240" w:lineRule="exact"/>
              <w:jc w:val="left"/>
              <w:textAlignment w:val="center"/>
              <w:rPr>
                <w:rFonts w:hint="default" w:ascii="Times New Roman" w:hAnsi="Times New Roman" w:eastAsia="仿宋_GB2312" w:cs="Times New Roman"/>
                <w:color w:val="000000"/>
                <w:szCs w:val="21"/>
                <w:lang w:bidi="ar"/>
              </w:rPr>
            </w:pPr>
            <w:r>
              <w:rPr>
                <w:rFonts w:hint="default" w:ascii="Times New Roman" w:hAnsi="Times New Roman" w:eastAsia="仿宋_GB2312" w:cs="Times New Roman"/>
                <w:color w:val="000000"/>
                <w:szCs w:val="21"/>
                <w:lang w:bidi="ar"/>
              </w:rPr>
              <w:t>2.现技术负责人无高级工程师职称；</w:t>
            </w:r>
          </w:p>
          <w:p>
            <w:pPr>
              <w:widowControl/>
              <w:autoSpaceDE w:val="0"/>
              <w:autoSpaceDN w:val="0"/>
              <w:spacing w:line="240" w:lineRule="exact"/>
              <w:jc w:val="left"/>
              <w:textAlignment w:val="center"/>
              <w:rPr>
                <w:rFonts w:hint="default" w:ascii="Times New Roman" w:hAnsi="Times New Roman" w:eastAsia="仿宋_GB2312" w:cs="Times New Roman"/>
                <w:color w:val="000000"/>
                <w:szCs w:val="21"/>
                <w:lang w:bidi="ar"/>
              </w:rPr>
            </w:pPr>
            <w:r>
              <w:rPr>
                <w:rFonts w:hint="default" w:ascii="Times New Roman" w:hAnsi="Times New Roman" w:eastAsia="仿宋_GB2312" w:cs="Times New Roman"/>
                <w:color w:val="000000"/>
                <w:szCs w:val="21"/>
                <w:lang w:bidi="ar"/>
              </w:rPr>
              <w:t>3.具有水利工程质量检测员执业资格或者具备水利水电工程及相关专业中级以上技术职称的检测人员不足10人；</w:t>
            </w:r>
          </w:p>
          <w:p>
            <w:pPr>
              <w:widowControl/>
              <w:autoSpaceDE w:val="0"/>
              <w:autoSpaceDN w:val="0"/>
              <w:spacing w:line="240" w:lineRule="exact"/>
              <w:jc w:val="left"/>
              <w:textAlignment w:val="center"/>
              <w:rPr>
                <w:rFonts w:hint="default" w:ascii="Times New Roman" w:hAnsi="Times New Roman" w:eastAsia="仿宋_GB2312" w:cs="Times New Roman"/>
                <w:color w:val="000000"/>
                <w:szCs w:val="21"/>
                <w:lang w:bidi="ar"/>
              </w:rPr>
            </w:pPr>
            <w:r>
              <w:rPr>
                <w:rFonts w:hint="default" w:ascii="Times New Roman" w:hAnsi="Times New Roman" w:eastAsia="仿宋_GB2312" w:cs="Times New Roman"/>
                <w:color w:val="000000"/>
                <w:szCs w:val="21"/>
                <w:lang w:bidi="ar"/>
              </w:rPr>
              <w:t>4.检测报告未按年度统一编号；</w:t>
            </w:r>
          </w:p>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bidi="ar"/>
              </w:rPr>
              <w:t>5.来样检测未声明结果仅适用于客户提供的样品。</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限期整改，期限一个月；在整改未获得认可前，不得开展水利工程质量检测业务；整改不到位或逾期未整改的，依法处理并记不良行为记录。</w:t>
            </w:r>
          </w:p>
        </w:tc>
      </w:tr>
      <w:tr>
        <w:tblPrEx>
          <w:tblCellMar>
            <w:top w:w="0" w:type="dxa"/>
            <w:left w:w="108" w:type="dxa"/>
            <w:bottom w:w="0" w:type="dxa"/>
            <w:right w:w="108" w:type="dxa"/>
          </w:tblCellMar>
        </w:tblPrEx>
        <w:trPr>
          <w:trHeight w:val="1068"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湖南湘桓工程检测有限公司</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91430111760747174N</w:t>
            </w:r>
          </w:p>
        </w:tc>
        <w:tc>
          <w:tcPr>
            <w:tcW w:w="6946"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1.检测人员符合要求，建议加强员工水利工程检测培训；</w:t>
            </w:r>
          </w:p>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2.技术管理和质量保证体系部分记录中目的针对性不强；</w:t>
            </w:r>
          </w:p>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3.部分报告未体现检测的仪器设备。</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限期整改，期限一个月；整改不到位或逾期未整改的，依法处理并记不良行为记录。</w:t>
            </w:r>
          </w:p>
        </w:tc>
      </w:tr>
      <w:tr>
        <w:tblPrEx>
          <w:tblCellMar>
            <w:top w:w="0" w:type="dxa"/>
            <w:left w:w="108" w:type="dxa"/>
            <w:bottom w:w="0" w:type="dxa"/>
            <w:right w:w="108" w:type="dxa"/>
          </w:tblCellMar>
        </w:tblPrEx>
        <w:trPr>
          <w:trHeight w:val="1142"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湖南万宇项目管理咨询有限公司</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91430112MA4RQ2RY6G</w:t>
            </w:r>
          </w:p>
        </w:tc>
        <w:tc>
          <w:tcPr>
            <w:tcW w:w="6946"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1.对符合检测要求的工程师进行了培训并授权，但未明确专业类别；</w:t>
            </w:r>
          </w:p>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2.检测能力基本满足要求，但应在2021年9月8日检测能力扩项后明确检测参数的依据；</w:t>
            </w:r>
          </w:p>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3.检测报告未体现环境数据，钢筋检测报告中依据不全。</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限期整改，期限一个月；整改不到位或逾期未整改的，依法处理并记不良行为记录。</w:t>
            </w:r>
          </w:p>
        </w:tc>
      </w:tr>
      <w:tr>
        <w:tblPrEx>
          <w:tblCellMar>
            <w:top w:w="0" w:type="dxa"/>
            <w:left w:w="108" w:type="dxa"/>
            <w:bottom w:w="0" w:type="dxa"/>
            <w:right w:w="108" w:type="dxa"/>
          </w:tblCellMar>
        </w:tblPrEx>
        <w:trPr>
          <w:trHeight w:val="1172"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ascii="Times New Roman" w:hAnsi="Times New Roman" w:cs="Times New Roman"/>
                <w:color w:val="000000"/>
                <w:szCs w:val="21"/>
              </w:rPr>
            </w:pPr>
            <w:r>
              <w:rPr>
                <w:rFonts w:hint="default" w:ascii="Times New Roman" w:hAnsi="Times New Roman" w:cs="Times New Roman"/>
                <w:color w:val="000000"/>
                <w:szCs w:val="21"/>
              </w:rPr>
              <w:t>4</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湖南省智俊工程技术服务有限公司</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91431003580906350L</w:t>
            </w:r>
          </w:p>
        </w:tc>
        <w:tc>
          <w:tcPr>
            <w:tcW w:w="6946"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1.设备期间核查记录不全；</w:t>
            </w:r>
          </w:p>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2.部分试块超龄期检测，并出具检测报告；</w:t>
            </w:r>
          </w:p>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3.部分报告未体现设备信息。</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限期整改，期限一个月；整改不到位或逾期未整改的，依法处理并记不良行为记录。</w:t>
            </w:r>
          </w:p>
        </w:tc>
      </w:tr>
      <w:tr>
        <w:tblPrEx>
          <w:tblCellMar>
            <w:top w:w="0" w:type="dxa"/>
            <w:left w:w="108" w:type="dxa"/>
            <w:bottom w:w="0" w:type="dxa"/>
            <w:right w:w="108" w:type="dxa"/>
          </w:tblCellMar>
        </w:tblPrEx>
        <w:trPr>
          <w:trHeight w:val="12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center"/>
              <w:textAlignment w:val="center"/>
              <w:rPr>
                <w:rFonts w:ascii="Times New Roman" w:hAnsi="Times New Roman" w:cs="Times New Roman"/>
                <w:color w:val="000000"/>
                <w:szCs w:val="21"/>
              </w:rPr>
            </w:pPr>
            <w:r>
              <w:rPr>
                <w:rFonts w:hint="default" w:ascii="Times New Roman" w:hAnsi="Times New Roman" w:cs="Times New Roman"/>
                <w:color w:val="000000"/>
                <w:szCs w:val="21"/>
              </w:rPr>
              <w:t>5</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湖南湘力检测有限公司</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91430104MA4PDM5A17</w:t>
            </w:r>
          </w:p>
        </w:tc>
        <w:tc>
          <w:tcPr>
            <w:tcW w:w="6946"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1.所提供的检测能力附表参数能力符合所申报的资质要求，但其中地基及复合地基参数中，引用规范SL237过期；</w:t>
            </w:r>
          </w:p>
          <w:p>
            <w:pPr>
              <w:widowControl/>
              <w:autoSpaceDE w:val="0"/>
              <w:autoSpaceDN w:val="0"/>
              <w:spacing w:line="240" w:lineRule="exact"/>
              <w:jc w:val="lef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2.检测报告未按照SL734—2016要求提供设备信息。</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pacing w:line="240" w:lineRule="exac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限期整改，期限一个月；整改不到位或逾期未整改的，依法处理并记不良行为记录。</w:t>
            </w:r>
          </w:p>
        </w:tc>
      </w:tr>
    </w:tbl>
    <w:p>
      <w:pPr>
        <w:rPr>
          <w:rFonts w:hint="eastAsia"/>
          <w:sz w:val="32"/>
          <w:szCs w:val="32"/>
          <w:lang w:val="en-US" w:eastAsia="zh-CN"/>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5</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9F1383"/>
    <w:rsid w:val="0ADFC551"/>
    <w:rsid w:val="39FE2540"/>
    <w:rsid w:val="3AF88617"/>
    <w:rsid w:val="3DAC23F5"/>
    <w:rsid w:val="3E3F8420"/>
    <w:rsid w:val="45FF8B39"/>
    <w:rsid w:val="4DAF34C5"/>
    <w:rsid w:val="556F8000"/>
    <w:rsid w:val="5EB9F480"/>
    <w:rsid w:val="5FFF3B68"/>
    <w:rsid w:val="6FFD60CA"/>
    <w:rsid w:val="775FE4D1"/>
    <w:rsid w:val="77E23421"/>
    <w:rsid w:val="77F5B268"/>
    <w:rsid w:val="7B67C989"/>
    <w:rsid w:val="7FAD275C"/>
    <w:rsid w:val="7FDD9613"/>
    <w:rsid w:val="D39F1383"/>
    <w:rsid w:val="DEF756F0"/>
    <w:rsid w:val="E7778181"/>
    <w:rsid w:val="E7F7F37D"/>
    <w:rsid w:val="EC71EF3E"/>
    <w:rsid w:val="EEEA6E04"/>
    <w:rsid w:val="FF6EA57E"/>
    <w:rsid w:val="FFFF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next w:val="4"/>
    <w:qFormat/>
    <w:uiPriority w:val="0"/>
    <w:pPr>
      <w:spacing w:before="6" w:after="0"/>
    </w:pPr>
    <w:rPr>
      <w:rFonts w:ascii="宋体" w:eastAsia="宋体"/>
      <w:sz w:val="30"/>
      <w:szCs w:val="24"/>
    </w:rPr>
  </w:style>
  <w:style w:type="paragraph" w:customStyle="1" w:styleId="4">
    <w:name w:val="正文首行缩进1"/>
    <w:basedOn w:val="1"/>
    <w:qFormat/>
    <w:uiPriority w:val="0"/>
    <w:pPr>
      <w:spacing w:after="120"/>
      <w:ind w:firstLine="100" w:firstLineChars="100"/>
    </w:p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2023-04-17T09:36:00Z</dcterms:created>
  <dc:creator>lyf</dc:creator>
  <cp:lastModifiedBy>xjkp-708</cp:lastModifiedBy>
  <dcterms:modified xsi:type="dcterms:W3CDTF">2024-06-27T09:58:49Z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