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附件</w:t>
      </w:r>
    </w:p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outlineLvl w:val="0"/>
        <w:rPr>
          <w:rFonts w:hint="eastAsia"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2020年度通过县域节水型社会达标建设验收的县（区）名单</w:t>
      </w:r>
    </w:p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长沙市望城区、茶陵县、湘潭市雨湖区、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衡阳市</w:t>
      </w:r>
      <w:r>
        <w:rPr>
          <w:rFonts w:hint="eastAsia" w:eastAsia="仿宋_GB2312"/>
          <w:kern w:val="0"/>
          <w:sz w:val="32"/>
          <w:szCs w:val="32"/>
          <w:lang w:bidi="ar"/>
        </w:rPr>
        <w:t>南岳区、衡东县、衡山县、绥宁县、岳阳县、湘阴县、张家界市永定区、嘉禾县、永州市零陵区、中方县、双峰县、凤凰县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2071"/>
    <w:rsid w:val="395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2020-12-23T01:30:00Z</dcterms:created>
  <dc:creator>网站信息发布</dc:creator>
  <cp:lastModifiedBy>网站信息发布</cp:lastModifiedBy>
  <dcterms:modified xsi:type="dcterms:W3CDTF">2020-12-23T01:30:45Z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