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004"/>
        </w:tabs>
        <w:spacing w:line="600" w:lineRule="exact"/>
        <w:jc w:val="left"/>
        <w:rPr>
          <w:rFonts w:eastAsia="黑体"/>
          <w:bCs/>
          <w:spacing w:val="-6"/>
          <w:w w:val="95"/>
          <w:sz w:val="32"/>
          <w:szCs w:val="32"/>
        </w:rPr>
      </w:pPr>
      <w:r>
        <w:rPr>
          <w:rFonts w:eastAsia="黑体"/>
          <w:bCs/>
          <w:spacing w:val="-6"/>
          <w:w w:val="95"/>
          <w:sz w:val="32"/>
          <w:szCs w:val="32"/>
        </w:rPr>
        <w:t>附件1</w:t>
      </w:r>
    </w:p>
    <w:p>
      <w:pPr>
        <w:ind w:firstLine="532" w:firstLineChars="100"/>
        <w:jc w:val="both"/>
        <w:rPr>
          <w:rFonts w:eastAsia="方正小标宋_GBK"/>
          <w:b/>
          <w:w w:val="95"/>
          <w:sz w:val="56"/>
          <w:szCs w:val="56"/>
        </w:rPr>
      </w:pPr>
    </w:p>
    <w:p>
      <w:pPr>
        <w:ind w:firstLine="532" w:firstLineChars="100"/>
        <w:jc w:val="both"/>
        <w:rPr>
          <w:rFonts w:eastAsia="方正小标宋_GBK"/>
          <w:b/>
          <w:w w:val="95"/>
          <w:sz w:val="56"/>
          <w:szCs w:val="56"/>
        </w:rPr>
      </w:pPr>
      <w:r>
        <w:rPr>
          <w:rFonts w:eastAsia="方正小标宋_GBK"/>
          <w:b/>
          <w:w w:val="95"/>
          <w:sz w:val="56"/>
          <w:szCs w:val="56"/>
        </w:rPr>
        <w:t>2017年度湖南省重大水利工程建设</w:t>
      </w:r>
    </w:p>
    <w:p>
      <w:pPr>
        <w:jc w:val="center"/>
        <w:rPr>
          <w:rFonts w:eastAsia="方正小标宋_GBK"/>
          <w:b/>
          <w:w w:val="95"/>
          <w:sz w:val="56"/>
          <w:szCs w:val="56"/>
        </w:rPr>
      </w:pPr>
      <w:r>
        <w:rPr>
          <w:rFonts w:eastAsia="方正小标宋_GBK"/>
          <w:b/>
          <w:w w:val="95"/>
          <w:sz w:val="56"/>
          <w:szCs w:val="56"/>
        </w:rPr>
        <w:t>专项资金绩效自评报告</w:t>
      </w:r>
    </w:p>
    <w:p>
      <w:pPr>
        <w:tabs>
          <w:tab w:val="left" w:pos="4004"/>
        </w:tabs>
        <w:spacing w:line="1000" w:lineRule="exact"/>
        <w:jc w:val="center"/>
        <w:rPr>
          <w:rFonts w:eastAsia="方正小标宋_GBK"/>
          <w:b/>
          <w:bCs/>
          <w:spacing w:val="-6"/>
          <w:w w:val="95"/>
          <w:sz w:val="72"/>
          <w:szCs w:val="72"/>
        </w:rPr>
      </w:pPr>
    </w:p>
    <w:p>
      <w:pPr>
        <w:tabs>
          <w:tab w:val="left" w:pos="4004"/>
        </w:tabs>
        <w:spacing w:line="1000" w:lineRule="exact"/>
        <w:jc w:val="center"/>
        <w:rPr>
          <w:rFonts w:eastAsia="方正小标宋_GBK"/>
          <w:b/>
          <w:bCs/>
          <w:spacing w:val="-6"/>
          <w:w w:val="95"/>
          <w:sz w:val="72"/>
          <w:szCs w:val="72"/>
        </w:rPr>
      </w:pPr>
    </w:p>
    <w:p>
      <w:pPr>
        <w:tabs>
          <w:tab w:val="left" w:pos="4004"/>
        </w:tabs>
        <w:spacing w:line="1000" w:lineRule="exact"/>
        <w:jc w:val="center"/>
        <w:rPr>
          <w:rFonts w:eastAsia="方正小标宋_GBK"/>
          <w:b/>
          <w:bCs/>
          <w:spacing w:val="-6"/>
          <w:w w:val="95"/>
          <w:sz w:val="72"/>
          <w:szCs w:val="72"/>
        </w:rPr>
      </w:pPr>
    </w:p>
    <w:p>
      <w:pPr>
        <w:tabs>
          <w:tab w:val="left" w:pos="4004"/>
        </w:tabs>
        <w:spacing w:line="1000" w:lineRule="exact"/>
        <w:jc w:val="center"/>
        <w:rPr>
          <w:rFonts w:eastAsia="方正小标宋_GBK"/>
          <w:b/>
          <w:bCs/>
          <w:spacing w:val="-6"/>
          <w:w w:val="95"/>
          <w:sz w:val="72"/>
          <w:szCs w:val="72"/>
        </w:rPr>
      </w:pPr>
    </w:p>
    <w:p>
      <w:pPr>
        <w:tabs>
          <w:tab w:val="left" w:pos="4004"/>
        </w:tabs>
        <w:spacing w:line="1000" w:lineRule="exact"/>
        <w:jc w:val="center"/>
        <w:rPr>
          <w:rFonts w:eastAsia="方正小标宋_GBK"/>
          <w:b/>
          <w:bCs/>
          <w:spacing w:val="-6"/>
          <w:w w:val="95"/>
          <w:sz w:val="72"/>
          <w:szCs w:val="72"/>
        </w:rPr>
      </w:pPr>
    </w:p>
    <w:p>
      <w:pPr>
        <w:tabs>
          <w:tab w:val="left" w:pos="4004"/>
        </w:tabs>
        <w:spacing w:line="1000" w:lineRule="exact"/>
        <w:jc w:val="center"/>
        <w:rPr>
          <w:rFonts w:eastAsia="方正小标宋_GBK"/>
          <w:b/>
          <w:bCs/>
          <w:spacing w:val="-6"/>
          <w:w w:val="95"/>
          <w:sz w:val="72"/>
          <w:szCs w:val="72"/>
        </w:rPr>
      </w:pPr>
    </w:p>
    <w:p>
      <w:pPr>
        <w:tabs>
          <w:tab w:val="left" w:pos="4004"/>
        </w:tabs>
        <w:spacing w:line="1000" w:lineRule="exact"/>
        <w:rPr>
          <w:rFonts w:eastAsia="方正小标宋_GBK"/>
          <w:b/>
          <w:bCs/>
          <w:spacing w:val="-6"/>
          <w:w w:val="95"/>
          <w:sz w:val="72"/>
          <w:szCs w:val="72"/>
        </w:rPr>
      </w:pPr>
    </w:p>
    <w:p>
      <w:pPr>
        <w:tabs>
          <w:tab w:val="left" w:pos="4004"/>
        </w:tabs>
        <w:spacing w:line="620" w:lineRule="exact"/>
        <w:jc w:val="center"/>
        <w:rPr>
          <w:rFonts w:eastAsia="微软雅黑"/>
          <w:b/>
          <w:bCs/>
          <w:sz w:val="36"/>
          <w:szCs w:val="36"/>
        </w:rPr>
      </w:pPr>
    </w:p>
    <w:p>
      <w:pPr>
        <w:tabs>
          <w:tab w:val="left" w:pos="4004"/>
        </w:tabs>
        <w:spacing w:line="600" w:lineRule="exact"/>
        <w:ind w:firstLine="2530" w:firstLineChars="700"/>
        <w:jc w:val="both"/>
        <w:rPr>
          <w:rFonts w:eastAsia="楷体_GB2312"/>
          <w:b/>
          <w:bCs/>
          <w:sz w:val="36"/>
          <w:szCs w:val="36"/>
        </w:rPr>
      </w:pPr>
      <w:r>
        <w:rPr>
          <w:rFonts w:eastAsia="楷体_GB2312"/>
          <w:b/>
          <w:bCs/>
          <w:sz w:val="36"/>
          <w:szCs w:val="36"/>
        </w:rPr>
        <w:t>报告单位：湖南省水利厅</w:t>
      </w:r>
    </w:p>
    <w:p>
      <w:pPr>
        <w:tabs>
          <w:tab w:val="left" w:pos="4004"/>
        </w:tabs>
        <w:spacing w:line="600" w:lineRule="exact"/>
        <w:jc w:val="center"/>
        <w:rPr>
          <w:rFonts w:eastAsia="楷体_GB2312"/>
          <w:b/>
          <w:bCs/>
          <w:sz w:val="36"/>
          <w:szCs w:val="36"/>
        </w:rPr>
      </w:pPr>
      <w:r>
        <w:rPr>
          <w:rFonts w:eastAsia="楷体_GB2312"/>
          <w:b/>
          <w:bCs/>
          <w:sz w:val="36"/>
          <w:szCs w:val="36"/>
        </w:rPr>
        <w:t>2018年4月25日</w:t>
      </w:r>
    </w:p>
    <w:p>
      <w:pPr>
        <w:tabs>
          <w:tab w:val="left" w:pos="4004"/>
        </w:tabs>
        <w:spacing w:line="1000" w:lineRule="exact"/>
        <w:rPr>
          <w:rFonts w:eastAsia="微软雅黑"/>
          <w:b/>
          <w:bCs/>
          <w:sz w:val="36"/>
          <w:szCs w:val="36"/>
        </w:rPr>
        <w:sectPr>
          <w:pgSz w:w="11906" w:h="16838"/>
          <w:pgMar w:top="1701" w:right="1418" w:bottom="1701" w:left="1418" w:header="851" w:footer="1418" w:gutter="0"/>
          <w:pgNumType w:start="1"/>
          <w:cols w:space="425" w:num="1"/>
          <w:docGrid w:type="lines" w:linePitch="312" w:charSpace="0"/>
        </w:sectPr>
      </w:pPr>
    </w:p>
    <w:sdt>
      <w:sdtPr>
        <w:rPr>
          <w:rFonts w:ascii="Times New Roman" w:hAnsi="Times New Roman" w:eastAsia="仿宋" w:cs="Times New Roman"/>
          <w:color w:val="auto"/>
          <w:kern w:val="2"/>
          <w:sz w:val="30"/>
          <w:szCs w:val="21"/>
          <w:lang w:val="zh-CN"/>
        </w:rPr>
        <w:id w:val="287168856"/>
      </w:sdtPr>
      <w:sdtEndPr>
        <w:rPr>
          <w:rFonts w:ascii="Times New Roman" w:hAnsi="Times New Roman" w:eastAsia="华文仿宋" w:cs="Times New Roman"/>
          <w:b/>
          <w:bCs/>
          <w:color w:val="auto"/>
          <w:kern w:val="2"/>
          <w:sz w:val="30"/>
          <w:szCs w:val="21"/>
          <w:lang w:val="zh-CN"/>
        </w:rPr>
      </w:sdtEndPr>
      <w:sdtContent>
        <w:p>
          <w:pPr>
            <w:pStyle w:val="30"/>
            <w:jc w:val="center"/>
            <w:rPr>
              <w:rFonts w:ascii="Times New Roman" w:hAnsi="Times New Roman" w:eastAsia="微软雅黑" w:cs="Times New Roman"/>
              <w:b/>
              <w:color w:val="auto"/>
              <w:sz w:val="36"/>
            </w:rPr>
          </w:pPr>
          <w:r>
            <w:rPr>
              <w:rFonts w:ascii="Times New Roman" w:hAnsi="Times New Roman" w:eastAsia="微软雅黑" w:cs="Times New Roman"/>
              <w:b/>
              <w:color w:val="auto"/>
              <w:sz w:val="36"/>
              <w:lang w:val="zh-CN"/>
            </w:rPr>
            <w:t>目录</w:t>
          </w:r>
        </w:p>
        <w:p>
          <w:pPr>
            <w:pStyle w:val="15"/>
            <w:tabs>
              <w:tab w:val="right" w:leader="dot" w:pos="8296"/>
            </w:tabs>
            <w:rPr>
              <w:rFonts w:eastAsia="仿宋_GB2312"/>
              <w:szCs w:val="30"/>
            </w:rPr>
          </w:pPr>
          <w:r>
            <w:rPr>
              <w:rFonts w:eastAsia="仿宋_GB2312"/>
              <w:szCs w:val="30"/>
            </w:rPr>
            <w:fldChar w:fldCharType="begin"/>
          </w:r>
          <w:r>
            <w:rPr>
              <w:rFonts w:eastAsia="仿宋_GB2312"/>
              <w:szCs w:val="30"/>
            </w:rPr>
            <w:instrText xml:space="preserve"> TOC \o "1-3" \h \z \u </w:instrText>
          </w:r>
          <w:r>
            <w:rPr>
              <w:rFonts w:eastAsia="仿宋_GB2312"/>
              <w:szCs w:val="30"/>
            </w:rPr>
            <w:fldChar w:fldCharType="separate"/>
          </w:r>
          <w:r>
            <w:fldChar w:fldCharType="begin"/>
          </w:r>
          <w:r>
            <w:instrText xml:space="preserve"> HYPERLINK \l "_Toc512350708" </w:instrText>
          </w:r>
          <w:r>
            <w:fldChar w:fldCharType="separate"/>
          </w:r>
          <w:r>
            <w:rPr>
              <w:rStyle w:val="19"/>
              <w:rFonts w:eastAsia="仿宋_GB2312"/>
              <w:color w:val="auto"/>
              <w:szCs w:val="30"/>
            </w:rPr>
            <w:t>一、项目基本情况</w:t>
          </w:r>
          <w:r>
            <w:rPr>
              <w:rFonts w:eastAsia="仿宋_GB2312"/>
              <w:szCs w:val="30"/>
            </w:rPr>
            <w:tab/>
          </w:r>
          <w:r>
            <w:rPr>
              <w:rFonts w:eastAsia="仿宋_GB2312"/>
              <w:szCs w:val="30"/>
            </w:rPr>
            <w:fldChar w:fldCharType="begin"/>
          </w:r>
          <w:r>
            <w:rPr>
              <w:rFonts w:eastAsia="仿宋_GB2312"/>
              <w:szCs w:val="30"/>
            </w:rPr>
            <w:instrText xml:space="preserve"> PAGEREF _Toc512350708 \h </w:instrText>
          </w:r>
          <w:r>
            <w:rPr>
              <w:rFonts w:eastAsia="仿宋_GB2312"/>
              <w:szCs w:val="30"/>
            </w:rPr>
            <w:fldChar w:fldCharType="separate"/>
          </w:r>
          <w:r>
            <w:rPr>
              <w:rFonts w:eastAsia="仿宋_GB2312"/>
              <w:szCs w:val="30"/>
            </w:rPr>
            <w:t>1</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"_Toc512350709" </w:instrText>
          </w:r>
          <w:r>
            <w:fldChar w:fldCharType="separate"/>
          </w:r>
          <w:r>
            <w:rPr>
              <w:rStyle w:val="19"/>
              <w:rFonts w:eastAsia="仿宋_GB2312"/>
              <w:color w:val="auto"/>
              <w:szCs w:val="30"/>
            </w:rPr>
            <w:t>（一）项目概况</w:t>
          </w:r>
          <w:r>
            <w:rPr>
              <w:rFonts w:eastAsia="仿宋_GB2312"/>
              <w:szCs w:val="30"/>
            </w:rPr>
            <w:tab/>
          </w:r>
          <w:r>
            <w:rPr>
              <w:rFonts w:eastAsia="仿宋_GB2312"/>
              <w:szCs w:val="30"/>
            </w:rPr>
            <w:fldChar w:fldCharType="begin"/>
          </w:r>
          <w:r>
            <w:rPr>
              <w:rFonts w:eastAsia="仿宋_GB2312"/>
              <w:szCs w:val="30"/>
            </w:rPr>
            <w:instrText xml:space="preserve"> PAGEREF _Toc512350709 \h </w:instrText>
          </w:r>
          <w:r>
            <w:rPr>
              <w:rFonts w:eastAsia="仿宋_GB2312"/>
              <w:szCs w:val="30"/>
            </w:rPr>
            <w:fldChar w:fldCharType="separate"/>
          </w:r>
          <w:r>
            <w:rPr>
              <w:rFonts w:eastAsia="仿宋_GB2312"/>
              <w:szCs w:val="30"/>
            </w:rPr>
            <w:t>1</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"_Toc512350710" </w:instrText>
          </w:r>
          <w:r>
            <w:fldChar w:fldCharType="separate"/>
          </w:r>
          <w:r>
            <w:rPr>
              <w:rStyle w:val="19"/>
              <w:rFonts w:eastAsia="仿宋_GB2312"/>
              <w:color w:val="auto"/>
              <w:szCs w:val="30"/>
            </w:rPr>
            <w:t>（二）项目绩效目标</w:t>
          </w:r>
          <w:r>
            <w:rPr>
              <w:rFonts w:eastAsia="仿宋_GB2312"/>
              <w:szCs w:val="30"/>
            </w:rPr>
            <w:tab/>
          </w:r>
          <w:r>
            <w:rPr>
              <w:rFonts w:eastAsia="仿宋_GB2312"/>
              <w:szCs w:val="30"/>
            </w:rPr>
            <w:fldChar w:fldCharType="begin"/>
          </w:r>
          <w:r>
            <w:rPr>
              <w:rFonts w:eastAsia="仿宋_GB2312"/>
              <w:szCs w:val="30"/>
            </w:rPr>
            <w:instrText xml:space="preserve"> PAGEREF _Toc512350710 \h </w:instrText>
          </w:r>
          <w:r>
            <w:rPr>
              <w:rFonts w:eastAsia="仿宋_GB2312"/>
              <w:szCs w:val="30"/>
            </w:rPr>
            <w:fldChar w:fldCharType="separate"/>
          </w:r>
          <w:r>
            <w:rPr>
              <w:rFonts w:eastAsia="仿宋_GB2312"/>
              <w:szCs w:val="30"/>
            </w:rPr>
            <w:t>3</w:t>
          </w:r>
          <w:r>
            <w:rPr>
              <w:rFonts w:eastAsia="仿宋_GB2312"/>
              <w:szCs w:val="30"/>
            </w:rPr>
            <w:fldChar w:fldCharType="end"/>
          </w:r>
          <w:r>
            <w:rPr>
              <w:rFonts w:eastAsia="仿宋_GB2312"/>
              <w:szCs w:val="30"/>
            </w:rPr>
            <w:fldChar w:fldCharType="end"/>
          </w:r>
        </w:p>
        <w:p>
          <w:pPr>
            <w:pStyle w:val="15"/>
            <w:tabs>
              <w:tab w:val="right" w:leader="dot" w:pos="8296"/>
            </w:tabs>
            <w:rPr>
              <w:rFonts w:eastAsia="仿宋_GB2312"/>
              <w:szCs w:val="30"/>
            </w:rPr>
          </w:pPr>
          <w:r>
            <w:fldChar w:fldCharType="begin"/>
          </w:r>
          <w:r>
            <w:instrText xml:space="preserve"> HYPERLINK \l "_Toc512350711" </w:instrText>
          </w:r>
          <w:r>
            <w:fldChar w:fldCharType="separate"/>
          </w:r>
          <w:r>
            <w:rPr>
              <w:rStyle w:val="19"/>
              <w:rFonts w:eastAsia="仿宋_GB2312"/>
              <w:color w:val="auto"/>
              <w:szCs w:val="30"/>
            </w:rPr>
            <w:t>二、项目实施及管理情况</w:t>
          </w:r>
          <w:r>
            <w:rPr>
              <w:rFonts w:eastAsia="仿宋_GB2312"/>
              <w:szCs w:val="30"/>
            </w:rPr>
            <w:tab/>
          </w:r>
          <w:r>
            <w:rPr>
              <w:rFonts w:eastAsia="仿宋_GB2312"/>
              <w:szCs w:val="30"/>
            </w:rPr>
            <w:fldChar w:fldCharType="begin"/>
          </w:r>
          <w:r>
            <w:rPr>
              <w:rFonts w:eastAsia="仿宋_GB2312"/>
              <w:szCs w:val="30"/>
            </w:rPr>
            <w:instrText xml:space="preserve"> PAGEREF _Toc512350711 \h </w:instrText>
          </w:r>
          <w:r>
            <w:rPr>
              <w:rFonts w:eastAsia="仿宋_GB2312"/>
              <w:szCs w:val="30"/>
            </w:rPr>
            <w:fldChar w:fldCharType="separate"/>
          </w:r>
          <w:r>
            <w:rPr>
              <w:rFonts w:eastAsia="仿宋_GB2312"/>
              <w:szCs w:val="30"/>
            </w:rPr>
            <w:t>6</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"_Toc512350712" </w:instrText>
          </w:r>
          <w:r>
            <w:fldChar w:fldCharType="separate"/>
          </w:r>
          <w:r>
            <w:rPr>
              <w:rStyle w:val="19"/>
              <w:rFonts w:eastAsia="仿宋_GB2312"/>
              <w:color w:val="auto"/>
              <w:szCs w:val="30"/>
            </w:rPr>
            <w:t>（一）资金计划、到位及使用情况</w:t>
          </w:r>
          <w:r>
            <w:rPr>
              <w:rFonts w:eastAsia="仿宋_GB2312"/>
              <w:szCs w:val="30"/>
            </w:rPr>
            <w:tab/>
          </w:r>
          <w:r>
            <w:rPr>
              <w:rFonts w:eastAsia="仿宋_GB2312"/>
              <w:szCs w:val="30"/>
            </w:rPr>
            <w:fldChar w:fldCharType="begin"/>
          </w:r>
          <w:r>
            <w:rPr>
              <w:rFonts w:eastAsia="仿宋_GB2312"/>
              <w:szCs w:val="30"/>
            </w:rPr>
            <w:instrText xml:space="preserve"> PAGEREF _Toc512350712 \h </w:instrText>
          </w:r>
          <w:r>
            <w:rPr>
              <w:rFonts w:eastAsia="仿宋_GB2312"/>
              <w:szCs w:val="30"/>
            </w:rPr>
            <w:fldChar w:fldCharType="separate"/>
          </w:r>
          <w:r>
            <w:rPr>
              <w:rFonts w:eastAsia="仿宋_GB2312"/>
              <w:szCs w:val="30"/>
            </w:rPr>
            <w:t>6</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"_Toc512350713" </w:instrText>
          </w:r>
          <w:r>
            <w:fldChar w:fldCharType="separate"/>
          </w:r>
          <w:r>
            <w:rPr>
              <w:rStyle w:val="19"/>
              <w:rFonts w:eastAsia="仿宋_GB2312"/>
              <w:color w:val="auto"/>
              <w:szCs w:val="30"/>
            </w:rPr>
            <w:t>1、资金计划及到位情况</w:t>
          </w:r>
          <w:r>
            <w:rPr>
              <w:rFonts w:eastAsia="仿宋_GB2312"/>
              <w:szCs w:val="30"/>
            </w:rPr>
            <w:tab/>
          </w:r>
          <w:r>
            <w:rPr>
              <w:rFonts w:eastAsia="仿宋_GB2312"/>
              <w:szCs w:val="30"/>
            </w:rPr>
            <w:fldChar w:fldCharType="begin"/>
          </w:r>
          <w:r>
            <w:rPr>
              <w:rFonts w:eastAsia="仿宋_GB2312"/>
              <w:szCs w:val="30"/>
            </w:rPr>
            <w:instrText xml:space="preserve"> PAGEREF _Toc512350713 \h </w:instrText>
          </w:r>
          <w:r>
            <w:rPr>
              <w:rFonts w:eastAsia="仿宋_GB2312"/>
              <w:szCs w:val="30"/>
            </w:rPr>
            <w:fldChar w:fldCharType="separate"/>
          </w:r>
          <w:r>
            <w:rPr>
              <w:rFonts w:eastAsia="仿宋_GB2312"/>
              <w:szCs w:val="30"/>
            </w:rPr>
            <w:t>6</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"_Toc512350714" </w:instrText>
          </w:r>
          <w:r>
            <w:fldChar w:fldCharType="separate"/>
          </w:r>
          <w:r>
            <w:rPr>
              <w:rStyle w:val="19"/>
              <w:rFonts w:eastAsia="仿宋_GB2312"/>
              <w:color w:val="auto"/>
              <w:szCs w:val="30"/>
            </w:rPr>
            <w:t>2、专项资金使用情况</w:t>
          </w:r>
          <w:r>
            <w:rPr>
              <w:rFonts w:eastAsia="仿宋_GB2312"/>
              <w:szCs w:val="30"/>
            </w:rPr>
            <w:tab/>
          </w:r>
          <w:r>
            <w:rPr>
              <w:rFonts w:eastAsia="仿宋_GB2312"/>
              <w:szCs w:val="30"/>
            </w:rPr>
            <w:fldChar w:fldCharType="begin"/>
          </w:r>
          <w:r>
            <w:rPr>
              <w:rFonts w:eastAsia="仿宋_GB2312"/>
              <w:szCs w:val="30"/>
            </w:rPr>
            <w:instrText xml:space="preserve"> PAGEREF _Toc512350714 \h </w:instrText>
          </w:r>
          <w:r>
            <w:rPr>
              <w:rFonts w:eastAsia="仿宋_GB2312"/>
              <w:szCs w:val="30"/>
            </w:rPr>
            <w:fldChar w:fldCharType="separate"/>
          </w:r>
          <w:r>
            <w:rPr>
              <w:rFonts w:eastAsia="仿宋_GB2312"/>
              <w:szCs w:val="30"/>
            </w:rPr>
            <w:t>15</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"_Toc512350715" </w:instrText>
          </w:r>
          <w:r>
            <w:fldChar w:fldCharType="separate"/>
          </w:r>
          <w:r>
            <w:rPr>
              <w:rStyle w:val="19"/>
              <w:rFonts w:eastAsia="仿宋_GB2312"/>
              <w:color w:val="auto"/>
              <w:szCs w:val="30"/>
            </w:rPr>
            <w:t>（二）项目财务管理情况</w:t>
          </w:r>
          <w:r>
            <w:rPr>
              <w:rFonts w:eastAsia="仿宋_GB2312"/>
              <w:szCs w:val="30"/>
            </w:rPr>
            <w:tab/>
          </w:r>
          <w:r>
            <w:rPr>
              <w:rFonts w:eastAsia="仿宋_GB2312"/>
              <w:szCs w:val="30"/>
            </w:rPr>
            <w:fldChar w:fldCharType="begin"/>
          </w:r>
          <w:r>
            <w:rPr>
              <w:rFonts w:eastAsia="仿宋_GB2312"/>
              <w:szCs w:val="30"/>
            </w:rPr>
            <w:instrText xml:space="preserve"> PAGEREF _Toc512350715 \h </w:instrText>
          </w:r>
          <w:r>
            <w:rPr>
              <w:rFonts w:eastAsia="仿宋_GB2312"/>
              <w:szCs w:val="30"/>
            </w:rPr>
            <w:fldChar w:fldCharType="separate"/>
          </w:r>
          <w:r>
            <w:rPr>
              <w:rFonts w:eastAsia="仿宋_GB2312"/>
              <w:szCs w:val="30"/>
            </w:rPr>
            <w:t>16</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"_Toc512350716" </w:instrText>
          </w:r>
          <w:r>
            <w:fldChar w:fldCharType="separate"/>
          </w:r>
          <w:r>
            <w:rPr>
              <w:rStyle w:val="19"/>
              <w:rFonts w:eastAsia="仿宋_GB2312"/>
              <w:color w:val="auto"/>
              <w:szCs w:val="30"/>
            </w:rPr>
            <w:t>（三）项目组织实施情况</w:t>
          </w:r>
          <w:r>
            <w:rPr>
              <w:rFonts w:eastAsia="仿宋_GB2312"/>
              <w:szCs w:val="30"/>
            </w:rPr>
            <w:tab/>
          </w:r>
          <w:r>
            <w:rPr>
              <w:rFonts w:eastAsia="仿宋_GB2312"/>
              <w:szCs w:val="30"/>
            </w:rPr>
            <w:fldChar w:fldCharType="begin"/>
          </w:r>
          <w:r>
            <w:rPr>
              <w:rFonts w:eastAsia="仿宋_GB2312"/>
              <w:szCs w:val="30"/>
            </w:rPr>
            <w:instrText xml:space="preserve"> PAGEREF _Toc512350716 \h </w:instrText>
          </w:r>
          <w:r>
            <w:rPr>
              <w:rFonts w:eastAsia="仿宋_GB2312"/>
              <w:szCs w:val="30"/>
            </w:rPr>
            <w:fldChar w:fldCharType="separate"/>
          </w:r>
          <w:r>
            <w:rPr>
              <w:rFonts w:eastAsia="仿宋_GB2312"/>
              <w:szCs w:val="30"/>
            </w:rPr>
            <w:t>16</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"_Toc512350717" </w:instrText>
          </w:r>
          <w:r>
            <w:fldChar w:fldCharType="separate"/>
          </w:r>
          <w:r>
            <w:rPr>
              <w:rStyle w:val="19"/>
              <w:rFonts w:eastAsia="仿宋_GB2312"/>
              <w:color w:val="auto"/>
              <w:szCs w:val="30"/>
            </w:rPr>
            <w:t>1、项目组织情况</w:t>
          </w:r>
          <w:r>
            <w:rPr>
              <w:rFonts w:eastAsia="仿宋_GB2312"/>
              <w:szCs w:val="30"/>
            </w:rPr>
            <w:tab/>
          </w:r>
          <w:r>
            <w:rPr>
              <w:rFonts w:eastAsia="仿宋_GB2312"/>
              <w:szCs w:val="30"/>
            </w:rPr>
            <w:fldChar w:fldCharType="begin"/>
          </w:r>
          <w:r>
            <w:rPr>
              <w:rFonts w:eastAsia="仿宋_GB2312"/>
              <w:szCs w:val="30"/>
            </w:rPr>
            <w:instrText xml:space="preserve"> PAGEREF _Toc512350717 \h </w:instrText>
          </w:r>
          <w:r>
            <w:rPr>
              <w:rFonts w:eastAsia="仿宋_GB2312"/>
              <w:szCs w:val="30"/>
            </w:rPr>
            <w:fldChar w:fldCharType="separate"/>
          </w:r>
          <w:r>
            <w:rPr>
              <w:rFonts w:eastAsia="仿宋_GB2312"/>
              <w:szCs w:val="30"/>
            </w:rPr>
            <w:t>16</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"_Toc512350718" </w:instrText>
          </w:r>
          <w:r>
            <w:fldChar w:fldCharType="separate"/>
          </w:r>
          <w:r>
            <w:rPr>
              <w:rStyle w:val="19"/>
              <w:rFonts w:eastAsia="仿宋_GB2312"/>
              <w:color w:val="auto"/>
              <w:szCs w:val="30"/>
            </w:rPr>
            <w:t>2、项目管理情况</w:t>
          </w:r>
          <w:r>
            <w:rPr>
              <w:rFonts w:eastAsia="仿宋_GB2312"/>
              <w:szCs w:val="30"/>
            </w:rPr>
            <w:tab/>
          </w:r>
          <w:r>
            <w:rPr>
              <w:rFonts w:eastAsia="仿宋_GB2312"/>
              <w:szCs w:val="30"/>
            </w:rPr>
            <w:fldChar w:fldCharType="begin"/>
          </w:r>
          <w:r>
            <w:rPr>
              <w:rFonts w:eastAsia="仿宋_GB2312"/>
              <w:szCs w:val="30"/>
            </w:rPr>
            <w:instrText xml:space="preserve"> PAGEREF _Toc512350718 \h </w:instrText>
          </w:r>
          <w:r>
            <w:rPr>
              <w:rFonts w:eastAsia="仿宋_GB2312"/>
              <w:szCs w:val="30"/>
            </w:rPr>
            <w:fldChar w:fldCharType="separate"/>
          </w:r>
          <w:r>
            <w:rPr>
              <w:rFonts w:eastAsia="仿宋_GB2312"/>
              <w:szCs w:val="30"/>
            </w:rPr>
            <w:t>17</w:t>
          </w:r>
          <w:r>
            <w:rPr>
              <w:rFonts w:eastAsia="仿宋_GB2312"/>
              <w:szCs w:val="30"/>
            </w:rPr>
            <w:fldChar w:fldCharType="end"/>
          </w:r>
          <w:r>
            <w:rPr>
              <w:rFonts w:eastAsia="仿宋_GB2312"/>
              <w:szCs w:val="30"/>
            </w:rPr>
            <w:fldChar w:fldCharType="end"/>
          </w:r>
        </w:p>
        <w:p>
          <w:pPr>
            <w:pStyle w:val="15"/>
            <w:tabs>
              <w:tab w:val="right" w:leader="dot" w:pos="8296"/>
            </w:tabs>
            <w:rPr>
              <w:rFonts w:eastAsia="仿宋_GB2312"/>
              <w:szCs w:val="30"/>
            </w:rPr>
          </w:pPr>
          <w:r>
            <w:fldChar w:fldCharType="begin"/>
          </w:r>
          <w:r>
            <w:instrText xml:space="preserve"> HYPERLINK \l "_Toc512350719" </w:instrText>
          </w:r>
          <w:r>
            <w:fldChar w:fldCharType="separate"/>
          </w:r>
          <w:r>
            <w:rPr>
              <w:rStyle w:val="19"/>
              <w:rFonts w:eastAsia="仿宋_GB2312"/>
              <w:color w:val="auto"/>
              <w:szCs w:val="30"/>
            </w:rPr>
            <w:t>三、项目任务完成情况</w:t>
          </w:r>
          <w:r>
            <w:rPr>
              <w:rFonts w:eastAsia="仿宋_GB2312"/>
              <w:szCs w:val="30"/>
            </w:rPr>
            <w:tab/>
          </w:r>
          <w:r>
            <w:rPr>
              <w:rFonts w:eastAsia="仿宋_GB2312"/>
              <w:szCs w:val="30"/>
            </w:rPr>
            <w:fldChar w:fldCharType="begin"/>
          </w:r>
          <w:r>
            <w:rPr>
              <w:rFonts w:eastAsia="仿宋_GB2312"/>
              <w:szCs w:val="30"/>
            </w:rPr>
            <w:instrText xml:space="preserve"> PAGEREF _Toc512350719 \h </w:instrText>
          </w:r>
          <w:r>
            <w:rPr>
              <w:rFonts w:eastAsia="仿宋_GB2312"/>
              <w:szCs w:val="30"/>
            </w:rPr>
            <w:fldChar w:fldCharType="separate"/>
          </w:r>
          <w:r>
            <w:rPr>
              <w:rFonts w:eastAsia="仿宋_GB2312"/>
              <w:szCs w:val="30"/>
            </w:rPr>
            <w:t>19</w:t>
          </w:r>
          <w:r>
            <w:rPr>
              <w:rFonts w:eastAsia="仿宋_GB2312"/>
              <w:szCs w:val="30"/>
            </w:rPr>
            <w:fldChar w:fldCharType="end"/>
          </w:r>
          <w:r>
            <w:rPr>
              <w:rFonts w:eastAsia="仿宋_GB2312"/>
              <w:szCs w:val="30"/>
            </w:rPr>
            <w:fldChar w:fldCharType="end"/>
          </w:r>
        </w:p>
        <w:p>
          <w:pPr>
            <w:pStyle w:val="15"/>
            <w:tabs>
              <w:tab w:val="right" w:leader="dot" w:pos="8296"/>
            </w:tabs>
            <w:rPr>
              <w:rFonts w:eastAsia="仿宋_GB2312"/>
              <w:szCs w:val="30"/>
            </w:rPr>
          </w:pPr>
          <w:r>
            <w:fldChar w:fldCharType="begin"/>
          </w:r>
          <w:r>
            <w:instrText xml:space="preserve"> HYPERLINK \l "_Toc512350720" </w:instrText>
          </w:r>
          <w:r>
            <w:fldChar w:fldCharType="separate"/>
          </w:r>
          <w:r>
            <w:rPr>
              <w:rStyle w:val="19"/>
              <w:rFonts w:eastAsia="仿宋_GB2312"/>
              <w:color w:val="auto"/>
              <w:szCs w:val="30"/>
            </w:rPr>
            <w:t>四、绩效评价工作情况</w:t>
          </w:r>
          <w:r>
            <w:rPr>
              <w:rFonts w:eastAsia="仿宋_GB2312"/>
              <w:szCs w:val="30"/>
            </w:rPr>
            <w:tab/>
          </w:r>
          <w:r>
            <w:rPr>
              <w:rFonts w:eastAsia="仿宋_GB2312"/>
              <w:szCs w:val="30"/>
            </w:rPr>
            <w:fldChar w:fldCharType="begin"/>
          </w:r>
          <w:r>
            <w:rPr>
              <w:rFonts w:eastAsia="仿宋_GB2312"/>
              <w:szCs w:val="30"/>
            </w:rPr>
            <w:instrText xml:space="preserve"> PAGEREF _Toc512350720 \h </w:instrText>
          </w:r>
          <w:r>
            <w:rPr>
              <w:rFonts w:eastAsia="仿宋_GB2312"/>
              <w:szCs w:val="30"/>
            </w:rPr>
            <w:fldChar w:fldCharType="separate"/>
          </w:r>
          <w:r>
            <w:rPr>
              <w:rFonts w:eastAsia="仿宋_GB2312"/>
              <w:szCs w:val="30"/>
            </w:rPr>
            <w:t>22</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"_Toc512350721" </w:instrText>
          </w:r>
          <w:r>
            <w:fldChar w:fldCharType="separate"/>
          </w:r>
          <w:r>
            <w:rPr>
              <w:rStyle w:val="19"/>
              <w:rFonts w:eastAsia="仿宋_GB2312"/>
              <w:color w:val="auto"/>
              <w:szCs w:val="30"/>
            </w:rPr>
            <w:t>（一）绩效评价目的</w:t>
          </w:r>
          <w:r>
            <w:rPr>
              <w:rFonts w:eastAsia="仿宋_GB2312"/>
              <w:szCs w:val="30"/>
            </w:rPr>
            <w:tab/>
          </w:r>
          <w:r>
            <w:rPr>
              <w:rFonts w:eastAsia="仿宋_GB2312"/>
              <w:szCs w:val="30"/>
            </w:rPr>
            <w:fldChar w:fldCharType="begin"/>
          </w:r>
          <w:r>
            <w:rPr>
              <w:rFonts w:eastAsia="仿宋_GB2312"/>
              <w:szCs w:val="30"/>
            </w:rPr>
            <w:instrText xml:space="preserve"> PAGEREF _Toc512350721 \h </w:instrText>
          </w:r>
          <w:r>
            <w:rPr>
              <w:rFonts w:eastAsia="仿宋_GB2312"/>
              <w:szCs w:val="30"/>
            </w:rPr>
            <w:fldChar w:fldCharType="separate"/>
          </w:r>
          <w:r>
            <w:rPr>
              <w:rFonts w:eastAsia="仿宋_GB2312"/>
              <w:szCs w:val="30"/>
            </w:rPr>
            <w:t>22</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"_Toc512350722" </w:instrText>
          </w:r>
          <w:r>
            <w:fldChar w:fldCharType="separate"/>
          </w:r>
          <w:r>
            <w:rPr>
              <w:rStyle w:val="19"/>
              <w:rFonts w:eastAsia="仿宋_GB2312"/>
              <w:color w:val="auto"/>
              <w:szCs w:val="30"/>
            </w:rPr>
            <w:t>（二）绩效评价过程</w:t>
          </w:r>
          <w:r>
            <w:rPr>
              <w:rFonts w:eastAsia="仿宋_GB2312"/>
              <w:szCs w:val="30"/>
            </w:rPr>
            <w:tab/>
          </w:r>
          <w:r>
            <w:rPr>
              <w:rFonts w:eastAsia="仿宋_GB2312"/>
              <w:szCs w:val="30"/>
            </w:rPr>
            <w:fldChar w:fldCharType="begin"/>
          </w:r>
          <w:r>
            <w:rPr>
              <w:rFonts w:eastAsia="仿宋_GB2312"/>
              <w:szCs w:val="30"/>
            </w:rPr>
            <w:instrText xml:space="preserve"> PAGEREF _Toc512350722 \h </w:instrText>
          </w:r>
          <w:r>
            <w:rPr>
              <w:rFonts w:eastAsia="仿宋_GB2312"/>
              <w:szCs w:val="30"/>
            </w:rPr>
            <w:fldChar w:fldCharType="separate"/>
          </w:r>
          <w:r>
            <w:rPr>
              <w:rFonts w:eastAsia="仿宋_GB2312"/>
              <w:szCs w:val="30"/>
            </w:rPr>
            <w:t>22</w:t>
          </w:r>
          <w:r>
            <w:rPr>
              <w:rFonts w:eastAsia="仿宋_GB2312"/>
              <w:szCs w:val="30"/>
            </w:rPr>
            <w:fldChar w:fldCharType="end"/>
          </w:r>
          <w:r>
            <w:rPr>
              <w:rFonts w:eastAsia="仿宋_GB2312"/>
              <w:szCs w:val="30"/>
            </w:rPr>
            <w:fldChar w:fldCharType="end"/>
          </w:r>
        </w:p>
        <w:p>
          <w:pPr>
            <w:pStyle w:val="15"/>
            <w:tabs>
              <w:tab w:val="right" w:leader="dot" w:pos="8296"/>
            </w:tabs>
            <w:rPr>
              <w:rFonts w:eastAsia="仿宋_GB2312"/>
              <w:szCs w:val="30"/>
            </w:rPr>
          </w:pPr>
          <w:r>
            <w:fldChar w:fldCharType="begin"/>
          </w:r>
          <w:r>
            <w:instrText xml:space="preserve"> HYPERLINK \l "_Toc512350723" </w:instrText>
          </w:r>
          <w:r>
            <w:fldChar w:fldCharType="separate"/>
          </w:r>
          <w:r>
            <w:rPr>
              <w:rStyle w:val="19"/>
              <w:rFonts w:eastAsia="仿宋_GB2312"/>
              <w:color w:val="auto"/>
              <w:szCs w:val="30"/>
            </w:rPr>
            <w:t>五、综合评价结果</w:t>
          </w:r>
          <w:r>
            <w:rPr>
              <w:rFonts w:eastAsia="仿宋_GB2312"/>
              <w:szCs w:val="30"/>
            </w:rPr>
            <w:tab/>
          </w:r>
          <w:r>
            <w:rPr>
              <w:rFonts w:eastAsia="仿宋_GB2312"/>
              <w:szCs w:val="30"/>
            </w:rPr>
            <w:fldChar w:fldCharType="begin"/>
          </w:r>
          <w:r>
            <w:rPr>
              <w:rFonts w:eastAsia="仿宋_GB2312"/>
              <w:szCs w:val="30"/>
            </w:rPr>
            <w:instrText xml:space="preserve"> PAGEREF _Toc512350723 \h </w:instrText>
          </w:r>
          <w:r>
            <w:rPr>
              <w:rFonts w:eastAsia="仿宋_GB2312"/>
              <w:szCs w:val="30"/>
            </w:rPr>
            <w:fldChar w:fldCharType="separate"/>
          </w:r>
          <w:r>
            <w:rPr>
              <w:rFonts w:eastAsia="仿宋_GB2312"/>
              <w:szCs w:val="30"/>
            </w:rPr>
            <w:t>24</w:t>
          </w:r>
          <w:r>
            <w:rPr>
              <w:rFonts w:eastAsia="仿宋_GB2312"/>
              <w:szCs w:val="30"/>
            </w:rPr>
            <w:fldChar w:fldCharType="end"/>
          </w:r>
          <w:r>
            <w:rPr>
              <w:rFonts w:eastAsia="仿宋_GB2312"/>
              <w:szCs w:val="30"/>
            </w:rPr>
            <w:fldChar w:fldCharType="end"/>
          </w:r>
        </w:p>
        <w:p>
          <w:pPr>
            <w:pStyle w:val="15"/>
            <w:tabs>
              <w:tab w:val="right" w:leader="dot" w:pos="8296"/>
            </w:tabs>
            <w:rPr>
              <w:rFonts w:eastAsia="仿宋_GB2312"/>
              <w:szCs w:val="30"/>
            </w:rPr>
          </w:pPr>
          <w:r>
            <w:fldChar w:fldCharType="begin"/>
          </w:r>
          <w:r>
            <w:instrText xml:space="preserve"> HYPERLINK \l "_Toc512350724" </w:instrText>
          </w:r>
          <w:r>
            <w:fldChar w:fldCharType="separate"/>
          </w:r>
          <w:r>
            <w:rPr>
              <w:rStyle w:val="19"/>
              <w:rFonts w:eastAsia="仿宋_GB2312"/>
              <w:color w:val="auto"/>
              <w:szCs w:val="30"/>
            </w:rPr>
            <w:t>六、项目主要绩效</w:t>
          </w:r>
          <w:r>
            <w:rPr>
              <w:rFonts w:eastAsia="仿宋_GB2312"/>
              <w:szCs w:val="30"/>
            </w:rPr>
            <w:tab/>
          </w:r>
          <w:r>
            <w:rPr>
              <w:rFonts w:eastAsia="仿宋_GB2312"/>
              <w:szCs w:val="30"/>
            </w:rPr>
            <w:fldChar w:fldCharType="begin"/>
          </w:r>
          <w:r>
            <w:rPr>
              <w:rFonts w:eastAsia="仿宋_GB2312"/>
              <w:szCs w:val="30"/>
            </w:rPr>
            <w:instrText xml:space="preserve"> PAGEREF _Toc512350724 \h </w:instrText>
          </w:r>
          <w:r>
            <w:rPr>
              <w:rFonts w:eastAsia="仿宋_GB2312"/>
              <w:szCs w:val="30"/>
            </w:rPr>
            <w:fldChar w:fldCharType="separate"/>
          </w:r>
          <w:r>
            <w:rPr>
              <w:rFonts w:eastAsia="仿宋_GB2312"/>
              <w:szCs w:val="30"/>
            </w:rPr>
            <w:t>25</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"_Toc512350725" </w:instrText>
          </w:r>
          <w:r>
            <w:fldChar w:fldCharType="separate"/>
          </w:r>
          <w:r>
            <w:rPr>
              <w:rStyle w:val="19"/>
              <w:rFonts w:eastAsia="仿宋_GB2312"/>
              <w:color w:val="auto"/>
              <w:szCs w:val="30"/>
            </w:rPr>
            <w:t>（一）经济效益</w:t>
          </w:r>
          <w:r>
            <w:rPr>
              <w:rFonts w:eastAsia="仿宋_GB2312"/>
              <w:szCs w:val="30"/>
            </w:rPr>
            <w:tab/>
          </w:r>
          <w:r>
            <w:rPr>
              <w:rFonts w:eastAsia="仿宋_GB2312"/>
              <w:szCs w:val="30"/>
            </w:rPr>
            <w:fldChar w:fldCharType="begin"/>
          </w:r>
          <w:r>
            <w:rPr>
              <w:rFonts w:eastAsia="仿宋_GB2312"/>
              <w:szCs w:val="30"/>
            </w:rPr>
            <w:instrText xml:space="preserve"> PAGEREF _Toc512350725 \h </w:instrText>
          </w:r>
          <w:r>
            <w:rPr>
              <w:rFonts w:eastAsia="仿宋_GB2312"/>
              <w:szCs w:val="30"/>
            </w:rPr>
            <w:fldChar w:fldCharType="separate"/>
          </w:r>
          <w:r>
            <w:rPr>
              <w:rFonts w:eastAsia="仿宋_GB2312"/>
              <w:szCs w:val="30"/>
            </w:rPr>
            <w:t>25</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"_Toc512350726" </w:instrText>
          </w:r>
          <w:r>
            <w:fldChar w:fldCharType="separate"/>
          </w:r>
          <w:r>
            <w:rPr>
              <w:rStyle w:val="19"/>
              <w:rFonts w:eastAsia="仿宋_GB2312"/>
              <w:color w:val="auto"/>
              <w:szCs w:val="30"/>
            </w:rPr>
            <w:t>（二）社会效益</w:t>
          </w:r>
          <w:r>
            <w:rPr>
              <w:rFonts w:eastAsia="仿宋_GB2312"/>
              <w:szCs w:val="30"/>
            </w:rPr>
            <w:tab/>
          </w:r>
          <w:r>
            <w:rPr>
              <w:rFonts w:eastAsia="仿宋_GB2312"/>
              <w:szCs w:val="30"/>
            </w:rPr>
            <w:fldChar w:fldCharType="begin"/>
          </w:r>
          <w:r>
            <w:rPr>
              <w:rFonts w:eastAsia="仿宋_GB2312"/>
              <w:szCs w:val="30"/>
            </w:rPr>
            <w:instrText xml:space="preserve"> PAGEREF _Toc512350726 \h </w:instrText>
          </w:r>
          <w:r>
            <w:rPr>
              <w:rFonts w:eastAsia="仿宋_GB2312"/>
              <w:szCs w:val="30"/>
            </w:rPr>
            <w:fldChar w:fldCharType="separate"/>
          </w:r>
          <w:r>
            <w:rPr>
              <w:rFonts w:eastAsia="仿宋_GB2312"/>
              <w:szCs w:val="30"/>
            </w:rPr>
            <w:t>28</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"_Toc512350727" </w:instrText>
          </w:r>
          <w:r>
            <w:fldChar w:fldCharType="separate"/>
          </w:r>
          <w:r>
            <w:rPr>
              <w:rStyle w:val="19"/>
              <w:rFonts w:eastAsia="仿宋_GB2312"/>
              <w:color w:val="auto"/>
              <w:szCs w:val="30"/>
            </w:rPr>
            <w:t>（三）生态环境效益</w:t>
          </w:r>
          <w:r>
            <w:rPr>
              <w:rFonts w:eastAsia="仿宋_GB2312"/>
              <w:szCs w:val="30"/>
            </w:rPr>
            <w:tab/>
          </w:r>
          <w:r>
            <w:rPr>
              <w:rFonts w:eastAsia="仿宋_GB2312"/>
              <w:szCs w:val="30"/>
            </w:rPr>
            <w:fldChar w:fldCharType="begin"/>
          </w:r>
          <w:r>
            <w:rPr>
              <w:rFonts w:eastAsia="仿宋_GB2312"/>
              <w:szCs w:val="30"/>
            </w:rPr>
            <w:instrText xml:space="preserve"> PAGEREF _Toc512350727 \h </w:instrText>
          </w:r>
          <w:r>
            <w:rPr>
              <w:rFonts w:eastAsia="仿宋_GB2312"/>
              <w:szCs w:val="30"/>
            </w:rPr>
            <w:fldChar w:fldCharType="separate"/>
          </w:r>
          <w:r>
            <w:rPr>
              <w:rFonts w:eastAsia="仿宋_GB2312"/>
              <w:szCs w:val="30"/>
            </w:rPr>
            <w:t>31</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"_Toc512350728" </w:instrText>
          </w:r>
          <w:r>
            <w:fldChar w:fldCharType="separate"/>
          </w:r>
          <w:r>
            <w:rPr>
              <w:rStyle w:val="19"/>
              <w:rFonts w:eastAsia="仿宋_GB2312"/>
              <w:color w:val="auto"/>
              <w:szCs w:val="30"/>
            </w:rPr>
            <w:t>（四）可持续影响</w:t>
          </w:r>
          <w:r>
            <w:rPr>
              <w:rFonts w:eastAsia="仿宋_GB2312"/>
              <w:szCs w:val="30"/>
            </w:rPr>
            <w:tab/>
          </w:r>
          <w:r>
            <w:rPr>
              <w:rFonts w:eastAsia="仿宋_GB2312"/>
              <w:szCs w:val="30"/>
            </w:rPr>
            <w:fldChar w:fldCharType="begin"/>
          </w:r>
          <w:r>
            <w:rPr>
              <w:rFonts w:eastAsia="仿宋_GB2312"/>
              <w:szCs w:val="30"/>
            </w:rPr>
            <w:instrText xml:space="preserve"> PAGEREF _Toc512350728 \h </w:instrText>
          </w:r>
          <w:r>
            <w:rPr>
              <w:rFonts w:eastAsia="仿宋_GB2312"/>
              <w:szCs w:val="30"/>
            </w:rPr>
            <w:fldChar w:fldCharType="separate"/>
          </w:r>
          <w:r>
            <w:rPr>
              <w:rFonts w:eastAsia="仿宋_GB2312"/>
              <w:szCs w:val="30"/>
            </w:rPr>
            <w:t>33</w:t>
          </w:r>
          <w:r>
            <w:rPr>
              <w:rFonts w:eastAsia="仿宋_GB2312"/>
              <w:szCs w:val="30"/>
            </w:rPr>
            <w:fldChar w:fldCharType="end"/>
          </w:r>
          <w:r>
            <w:rPr>
              <w:rFonts w:eastAsia="仿宋_GB2312"/>
              <w:szCs w:val="30"/>
            </w:rPr>
            <w:fldChar w:fldCharType="end"/>
          </w:r>
        </w:p>
        <w:p>
          <w:pPr>
            <w:pStyle w:val="15"/>
            <w:tabs>
              <w:tab w:val="right" w:leader="dot" w:pos="8296"/>
            </w:tabs>
            <w:rPr>
              <w:rFonts w:eastAsia="仿宋_GB2312"/>
              <w:szCs w:val="30"/>
            </w:rPr>
          </w:pPr>
          <w:r>
            <w:fldChar w:fldCharType="begin"/>
          </w:r>
          <w:r>
            <w:instrText xml:space="preserve"> HYPERLINK \l "_Toc512350729" </w:instrText>
          </w:r>
          <w:r>
            <w:fldChar w:fldCharType="separate"/>
          </w:r>
          <w:r>
            <w:rPr>
              <w:rStyle w:val="19"/>
              <w:rFonts w:eastAsia="仿宋_GB2312"/>
              <w:color w:val="auto"/>
              <w:szCs w:val="30"/>
            </w:rPr>
            <w:t>七、问题及建议</w:t>
          </w:r>
          <w:r>
            <w:rPr>
              <w:rFonts w:eastAsia="仿宋_GB2312"/>
              <w:szCs w:val="30"/>
            </w:rPr>
            <w:tab/>
          </w:r>
          <w:r>
            <w:rPr>
              <w:rFonts w:eastAsia="仿宋_GB2312"/>
              <w:szCs w:val="30"/>
            </w:rPr>
            <w:fldChar w:fldCharType="begin"/>
          </w:r>
          <w:r>
            <w:rPr>
              <w:rFonts w:eastAsia="仿宋_GB2312"/>
              <w:szCs w:val="30"/>
            </w:rPr>
            <w:instrText xml:space="preserve"> PAGEREF _Toc512350729 \h </w:instrText>
          </w:r>
          <w:r>
            <w:rPr>
              <w:rFonts w:eastAsia="仿宋_GB2312"/>
              <w:szCs w:val="30"/>
            </w:rPr>
            <w:fldChar w:fldCharType="separate"/>
          </w:r>
          <w:r>
            <w:rPr>
              <w:rFonts w:eastAsia="仿宋_GB2312"/>
              <w:szCs w:val="30"/>
            </w:rPr>
            <w:t>35</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"_Toc512350730" </w:instrText>
          </w:r>
          <w:r>
            <w:fldChar w:fldCharType="separate"/>
          </w:r>
          <w:r>
            <w:rPr>
              <w:rStyle w:val="19"/>
              <w:rFonts w:eastAsia="仿宋_GB2312"/>
              <w:color w:val="auto"/>
              <w:szCs w:val="30"/>
            </w:rPr>
            <w:t>（一）存在的问题</w:t>
          </w:r>
          <w:r>
            <w:rPr>
              <w:rFonts w:eastAsia="仿宋_GB2312"/>
              <w:szCs w:val="30"/>
            </w:rPr>
            <w:tab/>
          </w:r>
          <w:r>
            <w:rPr>
              <w:rFonts w:eastAsia="仿宋_GB2312"/>
              <w:szCs w:val="30"/>
            </w:rPr>
            <w:fldChar w:fldCharType="begin"/>
          </w:r>
          <w:r>
            <w:rPr>
              <w:rFonts w:eastAsia="仿宋_GB2312"/>
              <w:szCs w:val="30"/>
            </w:rPr>
            <w:instrText xml:space="preserve"> PAGEREF _Toc512350730 \h </w:instrText>
          </w:r>
          <w:r>
            <w:rPr>
              <w:rFonts w:eastAsia="仿宋_GB2312"/>
              <w:szCs w:val="30"/>
            </w:rPr>
            <w:fldChar w:fldCharType="separate"/>
          </w:r>
          <w:r>
            <w:rPr>
              <w:rFonts w:eastAsia="仿宋_GB2312"/>
              <w:szCs w:val="30"/>
            </w:rPr>
            <w:t>35</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"_Toc512350731" </w:instrText>
          </w:r>
          <w:r>
            <w:fldChar w:fldCharType="separate"/>
          </w:r>
          <w:r>
            <w:rPr>
              <w:rStyle w:val="19"/>
              <w:rFonts w:eastAsia="仿宋_GB2312"/>
              <w:color w:val="auto"/>
              <w:szCs w:val="30"/>
            </w:rPr>
            <w:t>1、部分项目工程进度滞后</w:t>
          </w:r>
          <w:r>
            <w:rPr>
              <w:rFonts w:eastAsia="仿宋_GB2312"/>
              <w:szCs w:val="30"/>
            </w:rPr>
            <w:tab/>
          </w:r>
          <w:r>
            <w:rPr>
              <w:rFonts w:eastAsia="仿宋_GB2312"/>
              <w:szCs w:val="30"/>
            </w:rPr>
            <w:fldChar w:fldCharType="begin"/>
          </w:r>
          <w:r>
            <w:rPr>
              <w:rFonts w:eastAsia="仿宋_GB2312"/>
              <w:szCs w:val="30"/>
            </w:rPr>
            <w:instrText xml:space="preserve"> PAGEREF _Toc512350731 \h </w:instrText>
          </w:r>
          <w:r>
            <w:rPr>
              <w:rFonts w:eastAsia="仿宋_GB2312"/>
              <w:szCs w:val="30"/>
            </w:rPr>
            <w:fldChar w:fldCharType="separate"/>
          </w:r>
          <w:r>
            <w:rPr>
              <w:rFonts w:eastAsia="仿宋_GB2312"/>
              <w:szCs w:val="30"/>
            </w:rPr>
            <w:t>35</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"_Toc512350732" </w:instrText>
          </w:r>
          <w:r>
            <w:fldChar w:fldCharType="separate"/>
          </w:r>
          <w:r>
            <w:rPr>
              <w:rStyle w:val="19"/>
              <w:rFonts w:eastAsia="仿宋_GB2312"/>
              <w:color w:val="auto"/>
              <w:szCs w:val="30"/>
            </w:rPr>
            <w:t>2、节水奖励及精准补贴机制落实难</w:t>
          </w:r>
          <w:r>
            <w:rPr>
              <w:rFonts w:eastAsia="仿宋_GB2312"/>
              <w:szCs w:val="30"/>
            </w:rPr>
            <w:tab/>
          </w:r>
          <w:r>
            <w:rPr>
              <w:rFonts w:eastAsia="仿宋_GB2312"/>
              <w:szCs w:val="30"/>
            </w:rPr>
            <w:fldChar w:fldCharType="begin"/>
          </w:r>
          <w:r>
            <w:rPr>
              <w:rFonts w:eastAsia="仿宋_GB2312"/>
              <w:szCs w:val="30"/>
            </w:rPr>
            <w:instrText xml:space="preserve"> PAGEREF _Toc512350732 \h </w:instrText>
          </w:r>
          <w:r>
            <w:rPr>
              <w:rFonts w:eastAsia="仿宋_GB2312"/>
              <w:szCs w:val="30"/>
            </w:rPr>
            <w:fldChar w:fldCharType="separate"/>
          </w:r>
          <w:r>
            <w:rPr>
              <w:rFonts w:eastAsia="仿宋_GB2312"/>
              <w:szCs w:val="30"/>
            </w:rPr>
            <w:t>35</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"_Toc512350733" </w:instrText>
          </w:r>
          <w:r>
            <w:fldChar w:fldCharType="separate"/>
          </w:r>
          <w:r>
            <w:rPr>
              <w:rStyle w:val="19"/>
              <w:rFonts w:eastAsia="仿宋_GB2312"/>
              <w:color w:val="auto"/>
              <w:szCs w:val="30"/>
            </w:rPr>
            <w:t>3、部分项目资金被县级财政评审核减</w:t>
          </w:r>
          <w:r>
            <w:rPr>
              <w:rFonts w:eastAsia="仿宋_GB2312"/>
              <w:szCs w:val="30"/>
            </w:rPr>
            <w:tab/>
          </w:r>
          <w:r>
            <w:rPr>
              <w:rFonts w:eastAsia="仿宋_GB2312"/>
              <w:szCs w:val="30"/>
            </w:rPr>
            <w:fldChar w:fldCharType="begin"/>
          </w:r>
          <w:r>
            <w:rPr>
              <w:rFonts w:eastAsia="仿宋_GB2312"/>
              <w:szCs w:val="30"/>
            </w:rPr>
            <w:instrText xml:space="preserve"> PAGEREF _Toc512350733 \h </w:instrText>
          </w:r>
          <w:r>
            <w:rPr>
              <w:rFonts w:eastAsia="仿宋_GB2312"/>
              <w:szCs w:val="30"/>
            </w:rPr>
            <w:fldChar w:fldCharType="separate"/>
          </w:r>
          <w:r>
            <w:rPr>
              <w:rFonts w:eastAsia="仿宋_GB2312"/>
              <w:szCs w:val="30"/>
            </w:rPr>
            <w:t>35</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"_Toc512350734" </w:instrText>
          </w:r>
          <w:r>
            <w:fldChar w:fldCharType="separate"/>
          </w:r>
          <w:r>
            <w:rPr>
              <w:rStyle w:val="19"/>
              <w:rFonts w:eastAsia="仿宋_GB2312"/>
              <w:color w:val="auto"/>
              <w:szCs w:val="30"/>
            </w:rPr>
            <w:t>（二）相关建议</w:t>
          </w:r>
          <w:r>
            <w:rPr>
              <w:rFonts w:eastAsia="仿宋_GB2312"/>
              <w:szCs w:val="30"/>
            </w:rPr>
            <w:tab/>
          </w:r>
          <w:r>
            <w:rPr>
              <w:rFonts w:eastAsia="仿宋_GB2312"/>
              <w:szCs w:val="30"/>
            </w:rPr>
            <w:fldChar w:fldCharType="begin"/>
          </w:r>
          <w:r>
            <w:rPr>
              <w:rFonts w:eastAsia="仿宋_GB2312"/>
              <w:szCs w:val="30"/>
            </w:rPr>
            <w:instrText xml:space="preserve"> PAGEREF _Toc512350734 \h </w:instrText>
          </w:r>
          <w:r>
            <w:rPr>
              <w:rFonts w:eastAsia="仿宋_GB2312"/>
              <w:szCs w:val="30"/>
            </w:rPr>
            <w:fldChar w:fldCharType="separate"/>
          </w:r>
          <w:r>
            <w:rPr>
              <w:rFonts w:eastAsia="仿宋_GB2312"/>
              <w:szCs w:val="30"/>
            </w:rPr>
            <w:t>36</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"_Toc512350735" </w:instrText>
          </w:r>
          <w:r>
            <w:fldChar w:fldCharType="separate"/>
          </w:r>
          <w:r>
            <w:rPr>
              <w:rStyle w:val="19"/>
              <w:rFonts w:eastAsia="仿宋_GB2312"/>
              <w:color w:val="auto"/>
              <w:szCs w:val="30"/>
            </w:rPr>
            <w:t>1、建议加快资金下达</w:t>
          </w:r>
          <w:r>
            <w:rPr>
              <w:rFonts w:eastAsia="仿宋_GB2312"/>
              <w:szCs w:val="30"/>
            </w:rPr>
            <w:tab/>
          </w:r>
          <w:r>
            <w:rPr>
              <w:rFonts w:eastAsia="仿宋_GB2312"/>
              <w:szCs w:val="30"/>
            </w:rPr>
            <w:fldChar w:fldCharType="begin"/>
          </w:r>
          <w:r>
            <w:rPr>
              <w:rFonts w:eastAsia="仿宋_GB2312"/>
              <w:szCs w:val="30"/>
            </w:rPr>
            <w:instrText xml:space="preserve"> PAGEREF _Toc512350735 \h </w:instrText>
          </w:r>
          <w:r>
            <w:rPr>
              <w:rFonts w:eastAsia="仿宋_GB2312"/>
              <w:szCs w:val="30"/>
            </w:rPr>
            <w:fldChar w:fldCharType="separate"/>
          </w:r>
          <w:r>
            <w:rPr>
              <w:rFonts w:eastAsia="仿宋_GB2312"/>
              <w:szCs w:val="30"/>
            </w:rPr>
            <w:t>36</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"_Toc512350736" </w:instrText>
          </w:r>
          <w:r>
            <w:fldChar w:fldCharType="separate"/>
          </w:r>
          <w:r>
            <w:rPr>
              <w:rStyle w:val="19"/>
              <w:rFonts w:eastAsia="仿宋_GB2312"/>
              <w:color w:val="auto"/>
              <w:szCs w:val="30"/>
            </w:rPr>
            <w:t>2、增大项目资金投入</w:t>
          </w:r>
          <w:r>
            <w:rPr>
              <w:rFonts w:eastAsia="仿宋_GB2312"/>
              <w:szCs w:val="30"/>
            </w:rPr>
            <w:tab/>
          </w:r>
          <w:r>
            <w:rPr>
              <w:rFonts w:eastAsia="仿宋_GB2312"/>
              <w:szCs w:val="30"/>
            </w:rPr>
            <w:fldChar w:fldCharType="begin"/>
          </w:r>
          <w:r>
            <w:rPr>
              <w:rFonts w:eastAsia="仿宋_GB2312"/>
              <w:szCs w:val="30"/>
            </w:rPr>
            <w:instrText xml:space="preserve"> PAGEREF _Toc512350736 \h </w:instrText>
          </w:r>
          <w:r>
            <w:rPr>
              <w:rFonts w:eastAsia="仿宋_GB2312"/>
              <w:szCs w:val="30"/>
            </w:rPr>
            <w:fldChar w:fldCharType="separate"/>
          </w:r>
          <w:r>
            <w:rPr>
              <w:rFonts w:eastAsia="仿宋_GB2312"/>
              <w:szCs w:val="30"/>
            </w:rPr>
            <w:t>36</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"_Toc512350737" </w:instrText>
          </w:r>
          <w:r>
            <w:fldChar w:fldCharType="separate"/>
          </w:r>
          <w:r>
            <w:rPr>
              <w:rStyle w:val="19"/>
              <w:rFonts w:eastAsia="仿宋_GB2312"/>
              <w:color w:val="auto"/>
              <w:szCs w:val="30"/>
            </w:rPr>
            <w:t>3、加大项目检查督查力度</w:t>
          </w:r>
          <w:r>
            <w:rPr>
              <w:rFonts w:eastAsia="仿宋_GB2312"/>
              <w:szCs w:val="30"/>
            </w:rPr>
            <w:tab/>
          </w:r>
          <w:r>
            <w:rPr>
              <w:rFonts w:eastAsia="仿宋_GB2312"/>
              <w:szCs w:val="30"/>
            </w:rPr>
            <w:fldChar w:fldCharType="begin"/>
          </w:r>
          <w:r>
            <w:rPr>
              <w:rFonts w:eastAsia="仿宋_GB2312"/>
              <w:szCs w:val="30"/>
            </w:rPr>
            <w:instrText xml:space="preserve"> PAGEREF _Toc512350737 \h </w:instrText>
          </w:r>
          <w:r>
            <w:rPr>
              <w:rFonts w:eastAsia="仿宋_GB2312"/>
              <w:szCs w:val="30"/>
            </w:rPr>
            <w:fldChar w:fldCharType="separate"/>
          </w:r>
          <w:r>
            <w:rPr>
              <w:rFonts w:eastAsia="仿宋_GB2312"/>
              <w:szCs w:val="30"/>
            </w:rPr>
            <w:t>36</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"_Toc512350738" </w:instrText>
          </w:r>
          <w:r>
            <w:fldChar w:fldCharType="separate"/>
          </w:r>
          <w:r>
            <w:rPr>
              <w:rStyle w:val="19"/>
              <w:rFonts w:eastAsia="仿宋_GB2312"/>
              <w:color w:val="auto"/>
              <w:szCs w:val="30"/>
            </w:rPr>
            <w:t>4、完善农业水价综合改革措施</w:t>
          </w:r>
          <w:r>
            <w:rPr>
              <w:rFonts w:eastAsia="仿宋_GB2312"/>
              <w:szCs w:val="30"/>
            </w:rPr>
            <w:tab/>
          </w:r>
          <w:r>
            <w:rPr>
              <w:rFonts w:eastAsia="仿宋_GB2312"/>
              <w:szCs w:val="30"/>
            </w:rPr>
            <w:fldChar w:fldCharType="begin"/>
          </w:r>
          <w:r>
            <w:rPr>
              <w:rFonts w:eastAsia="仿宋_GB2312"/>
              <w:szCs w:val="30"/>
            </w:rPr>
            <w:instrText xml:space="preserve"> PAGEREF _Toc512350738 \h </w:instrText>
          </w:r>
          <w:r>
            <w:rPr>
              <w:rFonts w:eastAsia="仿宋_GB2312"/>
              <w:szCs w:val="30"/>
            </w:rPr>
            <w:fldChar w:fldCharType="separate"/>
          </w:r>
          <w:r>
            <w:rPr>
              <w:rFonts w:eastAsia="仿宋_GB2312"/>
              <w:szCs w:val="30"/>
            </w:rPr>
            <w:t>36</w:t>
          </w:r>
          <w:r>
            <w:rPr>
              <w:rFonts w:eastAsia="仿宋_GB2312"/>
              <w:szCs w:val="30"/>
            </w:rPr>
            <w:fldChar w:fldCharType="end"/>
          </w:r>
          <w:r>
            <w:rPr>
              <w:rFonts w:eastAsia="仿宋_GB2312"/>
              <w:szCs w:val="30"/>
            </w:rPr>
            <w:fldChar w:fldCharType="end"/>
          </w:r>
        </w:p>
        <w:p>
          <w:pPr>
            <w:pStyle w:val="10"/>
            <w:tabs>
              <w:tab w:val="right" w:leader="dot" w:pos="8296"/>
            </w:tabs>
            <w:ind w:left="1200"/>
            <w:rPr>
              <w:rFonts w:eastAsia="仿宋_GB2312"/>
              <w:szCs w:val="30"/>
            </w:rPr>
          </w:pPr>
          <w:r>
            <w:fldChar w:fldCharType="begin"/>
          </w:r>
          <w:r>
            <w:instrText xml:space="preserve"> HYPERLINK \l "_Toc512350739" </w:instrText>
          </w:r>
          <w:r>
            <w:fldChar w:fldCharType="separate"/>
          </w:r>
          <w:r>
            <w:rPr>
              <w:rStyle w:val="19"/>
              <w:rFonts w:eastAsia="仿宋_GB2312"/>
              <w:color w:val="auto"/>
              <w:szCs w:val="30"/>
            </w:rPr>
            <w:t>5、重视运行管理考核</w:t>
          </w:r>
          <w:r>
            <w:rPr>
              <w:rFonts w:eastAsia="仿宋_GB2312"/>
              <w:szCs w:val="30"/>
            </w:rPr>
            <w:tab/>
          </w:r>
          <w:r>
            <w:rPr>
              <w:rFonts w:eastAsia="仿宋_GB2312"/>
              <w:szCs w:val="30"/>
            </w:rPr>
            <w:fldChar w:fldCharType="begin"/>
          </w:r>
          <w:r>
            <w:rPr>
              <w:rFonts w:eastAsia="仿宋_GB2312"/>
              <w:szCs w:val="30"/>
            </w:rPr>
            <w:instrText xml:space="preserve"> PAGEREF _Toc512350739 \h </w:instrText>
          </w:r>
          <w:r>
            <w:rPr>
              <w:rFonts w:eastAsia="仿宋_GB2312"/>
              <w:szCs w:val="30"/>
            </w:rPr>
            <w:fldChar w:fldCharType="separate"/>
          </w:r>
          <w:r>
            <w:rPr>
              <w:rFonts w:eastAsia="仿宋_GB2312"/>
              <w:szCs w:val="30"/>
            </w:rPr>
            <w:t>37</w:t>
          </w:r>
          <w:r>
            <w:rPr>
              <w:rFonts w:eastAsia="仿宋_GB2312"/>
              <w:szCs w:val="30"/>
            </w:rPr>
            <w:fldChar w:fldCharType="end"/>
          </w:r>
          <w:r>
            <w:rPr>
              <w:rFonts w:eastAsia="仿宋_GB2312"/>
              <w:szCs w:val="30"/>
            </w:rPr>
            <w:fldChar w:fldCharType="end"/>
          </w:r>
        </w:p>
        <w:p>
          <w:pPr>
            <w:pStyle w:val="15"/>
            <w:tabs>
              <w:tab w:val="right" w:leader="dot" w:pos="8296"/>
            </w:tabs>
            <w:rPr>
              <w:rFonts w:eastAsia="仿宋_GB2312"/>
              <w:szCs w:val="30"/>
            </w:rPr>
          </w:pPr>
          <w:r>
            <w:fldChar w:fldCharType="begin"/>
          </w:r>
          <w:r>
            <w:instrText xml:space="preserve"> HYPERLINK \l "_Toc512350740" </w:instrText>
          </w:r>
          <w:r>
            <w:fldChar w:fldCharType="separate"/>
          </w:r>
          <w:r>
            <w:rPr>
              <w:rStyle w:val="19"/>
              <w:rFonts w:eastAsia="仿宋_GB2312"/>
              <w:color w:val="auto"/>
              <w:szCs w:val="30"/>
            </w:rPr>
            <w:t>八、重大水利工程建设专项资金在2019年预算中继续保留</w:t>
          </w:r>
          <w:r>
            <w:rPr>
              <w:rFonts w:eastAsia="仿宋_GB2312"/>
              <w:szCs w:val="30"/>
            </w:rPr>
            <w:tab/>
          </w:r>
          <w:r>
            <w:rPr>
              <w:rFonts w:eastAsia="仿宋_GB2312"/>
              <w:szCs w:val="30"/>
            </w:rPr>
            <w:fldChar w:fldCharType="begin"/>
          </w:r>
          <w:r>
            <w:rPr>
              <w:rFonts w:eastAsia="仿宋_GB2312"/>
              <w:szCs w:val="30"/>
            </w:rPr>
            <w:instrText xml:space="preserve"> PAGEREF _Toc512350740 \h </w:instrText>
          </w:r>
          <w:r>
            <w:rPr>
              <w:rFonts w:eastAsia="仿宋_GB2312"/>
              <w:szCs w:val="30"/>
            </w:rPr>
            <w:fldChar w:fldCharType="separate"/>
          </w:r>
          <w:r>
            <w:rPr>
              <w:rFonts w:eastAsia="仿宋_GB2312"/>
              <w:szCs w:val="30"/>
            </w:rPr>
            <w:t>37</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"_Toc512350741" </w:instrText>
          </w:r>
          <w:r>
            <w:fldChar w:fldCharType="separate"/>
          </w:r>
          <w:r>
            <w:rPr>
              <w:rStyle w:val="19"/>
              <w:rFonts w:eastAsia="仿宋_GB2312"/>
              <w:color w:val="auto"/>
              <w:szCs w:val="30"/>
            </w:rPr>
            <w:t>（一）专项保留依据</w:t>
          </w:r>
          <w:r>
            <w:rPr>
              <w:rFonts w:eastAsia="仿宋_GB2312"/>
              <w:szCs w:val="30"/>
            </w:rPr>
            <w:tab/>
          </w:r>
          <w:r>
            <w:rPr>
              <w:rFonts w:eastAsia="仿宋_GB2312"/>
              <w:szCs w:val="30"/>
            </w:rPr>
            <w:fldChar w:fldCharType="begin"/>
          </w:r>
          <w:r>
            <w:rPr>
              <w:rFonts w:eastAsia="仿宋_GB2312"/>
              <w:szCs w:val="30"/>
            </w:rPr>
            <w:instrText xml:space="preserve"> PAGEREF _Toc512350741 \h </w:instrText>
          </w:r>
          <w:r>
            <w:rPr>
              <w:rFonts w:eastAsia="仿宋_GB2312"/>
              <w:szCs w:val="30"/>
            </w:rPr>
            <w:fldChar w:fldCharType="separate"/>
          </w:r>
          <w:r>
            <w:rPr>
              <w:rFonts w:eastAsia="仿宋_GB2312"/>
              <w:szCs w:val="30"/>
            </w:rPr>
            <w:t>37</w:t>
          </w:r>
          <w:r>
            <w:rPr>
              <w:rFonts w:eastAsia="仿宋_GB2312"/>
              <w:szCs w:val="30"/>
            </w:rPr>
            <w:fldChar w:fldCharType="end"/>
          </w:r>
          <w:r>
            <w:rPr>
              <w:rFonts w:eastAsia="仿宋_GB2312"/>
              <w:szCs w:val="30"/>
            </w:rPr>
            <w:fldChar w:fldCharType="end"/>
          </w:r>
        </w:p>
        <w:p>
          <w:pPr>
            <w:pStyle w:val="17"/>
            <w:tabs>
              <w:tab w:val="right" w:leader="dot" w:pos="8296"/>
            </w:tabs>
            <w:ind w:left="600"/>
            <w:rPr>
              <w:rFonts w:eastAsia="仿宋_GB2312"/>
              <w:szCs w:val="30"/>
            </w:rPr>
          </w:pPr>
          <w:r>
            <w:fldChar w:fldCharType="begin"/>
          </w:r>
          <w:r>
            <w:instrText xml:space="preserve"> HYPERLINK \l "_Toc512350742" </w:instrText>
          </w:r>
          <w:r>
            <w:fldChar w:fldCharType="separate"/>
          </w:r>
          <w:r>
            <w:rPr>
              <w:rStyle w:val="19"/>
              <w:rFonts w:eastAsia="仿宋_GB2312"/>
              <w:color w:val="auto"/>
              <w:szCs w:val="30"/>
            </w:rPr>
            <w:t>（二）下年度主要用途及预算规模建议</w:t>
          </w:r>
          <w:r>
            <w:rPr>
              <w:rFonts w:eastAsia="仿宋_GB2312"/>
              <w:szCs w:val="30"/>
            </w:rPr>
            <w:tab/>
          </w:r>
          <w:r>
            <w:rPr>
              <w:rFonts w:eastAsia="仿宋_GB2312"/>
              <w:szCs w:val="30"/>
            </w:rPr>
            <w:fldChar w:fldCharType="begin"/>
          </w:r>
          <w:r>
            <w:rPr>
              <w:rFonts w:eastAsia="仿宋_GB2312"/>
              <w:szCs w:val="30"/>
            </w:rPr>
            <w:instrText xml:space="preserve"> PAGEREF _Toc512350742 \h </w:instrText>
          </w:r>
          <w:r>
            <w:rPr>
              <w:rFonts w:eastAsia="仿宋_GB2312"/>
              <w:szCs w:val="30"/>
            </w:rPr>
            <w:fldChar w:fldCharType="separate"/>
          </w:r>
          <w:r>
            <w:rPr>
              <w:rFonts w:eastAsia="仿宋_GB2312"/>
              <w:szCs w:val="30"/>
            </w:rPr>
            <w:t>37</w:t>
          </w:r>
          <w:r>
            <w:rPr>
              <w:rFonts w:eastAsia="仿宋_GB2312"/>
              <w:szCs w:val="30"/>
            </w:rPr>
            <w:fldChar w:fldCharType="end"/>
          </w:r>
          <w:r>
            <w:rPr>
              <w:rFonts w:eastAsia="仿宋_GB2312"/>
              <w:szCs w:val="30"/>
            </w:rPr>
            <w:fldChar w:fldCharType="end"/>
          </w:r>
        </w:p>
        <w:p>
          <w:pPr>
            <w:rPr>
              <w:rFonts w:eastAsia="仿宋_GB2312"/>
              <w:szCs w:val="30"/>
            </w:rPr>
          </w:pPr>
          <w:r>
            <w:rPr>
              <w:rFonts w:eastAsia="仿宋_GB2312"/>
              <w:b/>
              <w:bCs/>
              <w:szCs w:val="30"/>
              <w:lang w:val="zh-CN"/>
            </w:rPr>
            <w:fldChar w:fldCharType="end"/>
          </w:r>
        </w:p>
        <w:p>
          <w:pPr>
            <w:rPr>
              <w:b/>
              <w:bCs/>
              <w:szCs w:val="30"/>
              <w:lang w:val="zh-CN"/>
            </w:rPr>
          </w:pPr>
        </w:p>
        <w:p>
          <w:pPr>
            <w:sectPr>
              <w:footerReference r:id="rId3" w:type="default"/>
              <w:pgSz w:w="11906" w:h="16838"/>
              <w:pgMar w:top="1701" w:right="1418" w:bottom="1701" w:left="1418" w:header="851" w:footer="1418" w:gutter="0"/>
              <w:pgNumType w:start="1"/>
              <w:cols w:space="425" w:num="1"/>
              <w:docGrid w:type="lines" w:linePitch="312" w:charSpace="0"/>
            </w:sectPr>
          </w:pPr>
        </w:p>
      </w:sdtContent>
    </w:sdt>
    <w:p>
      <w:pPr>
        <w:spacing w:line="600" w:lineRule="exact"/>
        <w:ind w:firstLine="640" w:firstLineChars="200"/>
        <w:rPr>
          <w:rFonts w:eastAsia="仿宋_GB2312"/>
          <w:sz w:val="32"/>
          <w:szCs w:val="32"/>
        </w:rPr>
        <w:sectPr>
          <w:footerReference r:id="rId4" w:type="default"/>
          <w:type w:val="continuous"/>
          <w:pgSz w:w="11906" w:h="16838"/>
          <w:pgMar w:top="1701" w:right="1418" w:bottom="1701" w:left="1418" w:header="851" w:footer="1418" w:gutter="0"/>
          <w:pgNumType w:start="1"/>
          <w:cols w:space="425" w:num="1"/>
          <w:docGrid w:type="lines" w:linePitch="312" w:charSpace="0"/>
        </w:sectPr>
      </w:pPr>
    </w:p>
    <w:p>
      <w:pPr>
        <w:spacing w:line="600" w:lineRule="exact"/>
        <w:ind w:firstLine="640" w:firstLineChars="200"/>
        <w:rPr>
          <w:rFonts w:eastAsia="仿宋_GB2312"/>
          <w:sz w:val="32"/>
          <w:szCs w:val="32"/>
        </w:rPr>
      </w:pPr>
      <w:r>
        <w:rPr>
          <w:rFonts w:eastAsia="仿宋_GB2312"/>
          <w:sz w:val="32"/>
          <w:szCs w:val="32"/>
        </w:rPr>
        <w:t>为进一步规范财政（预算）资金管理，强化部门责任意识，切实提高水利专项资金使用效益，根据《湖南省人民政府关于深化预算管理制度改革的实施意见》（湘政发〔2015〕8号）、《湖南省财政厅关于做好2017年度省级一般公共预算专项资金绩效自评工作的通知》（湘财绩〔2018〕3号）文件精神，我厅组织考评组于2018年3月12日至4月1日，对2017年省级重大水利工程建设专项资金在项目单位自评的基础上，按照资金量和项目个数均不得低于30%的比例，进行了现场绩效评价。根据财政支出绩效评价的有关规定，形成本评价报告。</w:t>
      </w:r>
    </w:p>
    <w:p>
      <w:pPr>
        <w:pStyle w:val="2"/>
        <w:keepNext w:val="0"/>
        <w:keepLines w:val="0"/>
        <w:spacing w:before="0" w:after="0" w:line="600" w:lineRule="exact"/>
        <w:ind w:firstLine="643" w:firstLineChars="200"/>
        <w:rPr>
          <w:szCs w:val="32"/>
        </w:rPr>
      </w:pPr>
      <w:bookmarkStart w:id="0" w:name="_Toc512350708"/>
      <w:bookmarkStart w:id="1" w:name="_Toc511115247"/>
      <w:r>
        <w:rPr>
          <w:szCs w:val="32"/>
        </w:rPr>
        <w:t>一、项目基本情况</w:t>
      </w:r>
      <w:bookmarkEnd w:id="0"/>
      <w:bookmarkEnd w:id="1"/>
    </w:p>
    <w:p>
      <w:pPr>
        <w:pStyle w:val="3"/>
        <w:keepNext w:val="0"/>
        <w:keepLines w:val="0"/>
        <w:spacing w:line="600" w:lineRule="exact"/>
        <w:ind w:firstLine="643" w:firstLineChars="200"/>
        <w:rPr>
          <w:rFonts w:ascii="Times New Roman" w:hAnsi="Times New Roman" w:eastAsia="楷体_GB2312" w:cs="Times New Roman"/>
        </w:rPr>
      </w:pPr>
      <w:bookmarkStart w:id="2" w:name="_Toc512350709"/>
      <w:bookmarkStart w:id="3" w:name="_Toc511115248"/>
      <w:r>
        <w:rPr>
          <w:rFonts w:ascii="Times New Roman" w:hAnsi="Times New Roman" w:eastAsia="楷体_GB2312" w:cs="Times New Roman"/>
        </w:rPr>
        <w:t>（一）项目概况</w:t>
      </w:r>
      <w:bookmarkEnd w:id="2"/>
      <w:bookmarkEnd w:id="3"/>
    </w:p>
    <w:p>
      <w:pPr>
        <w:spacing w:line="60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195580</wp:posOffset>
                </wp:positionH>
                <wp:positionV relativeFrom="paragraph">
                  <wp:posOffset>2882265</wp:posOffset>
                </wp:positionV>
                <wp:extent cx="3246120" cy="394335"/>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59420" cy="39413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pStyle w:val="8"/>
                              <w:jc w:val="center"/>
                              <w:rPr>
                                <w:rFonts w:ascii="微软雅黑" w:hAnsi="微软雅黑" w:eastAsia="微软雅黑" w:cs="Times New Roman"/>
                                <w:color w:val="010101"/>
                                <w:kern w:val="0"/>
                                <w:sz w:val="24"/>
                                <w:szCs w:val="30"/>
                              </w:rPr>
                            </w:pPr>
                            <w:r>
                              <w:rPr>
                                <w:rFonts w:hint="eastAsia" w:ascii="微软雅黑" w:hAnsi="微软雅黑" w:eastAsia="微软雅黑"/>
                                <w:sz w:val="16"/>
                              </w:rPr>
                              <w:t>8</w:t>
                            </w:r>
                            <w:r>
                              <w:rPr>
                                <w:rFonts w:ascii="微软雅黑" w:hAnsi="微软雅黑" w:eastAsia="微软雅黑"/>
                                <w:sz w:val="16"/>
                              </w:rPr>
                              <w:t>.11</w:t>
                            </w:r>
                            <w:r>
                              <w:rPr>
                                <w:rFonts w:hint="eastAsia" w:ascii="微软雅黑" w:hAnsi="微软雅黑" w:eastAsia="微软雅黑"/>
                                <w:sz w:val="16"/>
                              </w:rPr>
                              <w:t>全省重大水利工程建设推进工作（集体约谈）会</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4pt;margin-top:226.95pt;height:31.05pt;width:255.6pt;z-index:251662336;mso-width-relative:page;mso-height-relative:page;" filled="f" stroked="f" coordsize="21600,21600" o:gfxdata="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8eMjrYAAAACgEAAA8AAAAAAAAAAQAgAAAAIgAAAGRycy9kb3ducmV2Lnht&#10;bFBLAQIUABQAAAAIAIdO4kCMH9Fa+QEAAMkDAAAOAAAAAAAAAAEAIAAAACcBAABkcnMvZTJvRG9j&#10;LnhtbFBLBQYAAAAABgAGAFkBAACSBQAAAAA=&#10;">
                <v:fill on="f" focussize="0,0"/>
                <v:stroke on="f"/>
                <v:imagedata o:title=""/>
                <o:lock v:ext="edit" aspectratio="f"/>
                <v:textbox>
                  <w:txbxContent>
                    <w:p>
                      <w:pPr>
                        <w:pStyle w:val="8"/>
                        <w:jc w:val="center"/>
                        <w:rPr>
                          <w:rFonts w:ascii="微软雅黑" w:hAnsi="微软雅黑" w:eastAsia="微软雅黑" w:cs="Times New Roman"/>
                          <w:color w:val="010101"/>
                          <w:kern w:val="0"/>
                          <w:sz w:val="24"/>
                          <w:szCs w:val="30"/>
                        </w:rPr>
                      </w:pPr>
                      <w:r>
                        <w:rPr>
                          <w:rFonts w:hint="eastAsia" w:ascii="微软雅黑" w:hAnsi="微软雅黑" w:eastAsia="微软雅黑"/>
                          <w:sz w:val="16"/>
                        </w:rPr>
                        <w:t>8</w:t>
                      </w:r>
                      <w:r>
                        <w:rPr>
                          <w:rFonts w:ascii="微软雅黑" w:hAnsi="微软雅黑" w:eastAsia="微软雅黑"/>
                          <w:sz w:val="16"/>
                        </w:rPr>
                        <w:t>.11</w:t>
                      </w:r>
                      <w:r>
                        <w:rPr>
                          <w:rFonts w:hint="eastAsia" w:ascii="微软雅黑" w:hAnsi="微软雅黑" w:eastAsia="微软雅黑"/>
                          <w:sz w:val="16"/>
                        </w:rPr>
                        <w:t>全省重大水利工程建设推进工作（集体约谈）会</w:t>
                      </w:r>
                    </w:p>
                    <w:p/>
                  </w:txbxContent>
                </v:textbox>
              </v:shape>
            </w:pict>
          </mc:Fallback>
        </mc:AlternateContent>
      </w:r>
      <w:r>
        <w:rPr>
          <w:rFonts w:eastAsia="仿宋_GB2312"/>
          <w:sz w:val="32"/>
          <w:szCs w:val="32"/>
        </w:rPr>
        <w:drawing>
          <wp:anchor distT="0" distB="0" distL="114300" distR="114300" simplePos="0" relativeHeight="251644928" behindDoc="1" locked="0" layoutInCell="1" allowOverlap="1">
            <wp:simplePos x="0" y="0"/>
            <wp:positionH relativeFrom="margin">
              <wp:posOffset>38100</wp:posOffset>
            </wp:positionH>
            <wp:positionV relativeFrom="paragraph">
              <wp:posOffset>899160</wp:posOffset>
            </wp:positionV>
            <wp:extent cx="3444240" cy="2009775"/>
            <wp:effectExtent l="19050" t="0" r="3810" b="0"/>
            <wp:wrapTight wrapText="bothSides">
              <wp:wrapPolygon>
                <wp:start x="-119" y="0"/>
                <wp:lineTo x="-119" y="21498"/>
                <wp:lineTo x="21624" y="21498"/>
                <wp:lineTo x="21624" y="0"/>
                <wp:lineTo x="-119" y="0"/>
              </wp:wrapPolygon>
            </wp:wrapTight>
            <wp:docPr id="3" name="图片 3" descr="http://images.rednet.cn/articleimage/2017/08/11/18235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images.rednet.cn/articleimage/2017/08/11/182357240.jpg"/>
                    <pic:cNvPicPr>
                      <a:picLocks noChangeAspect="1" noChangeArrowheads="1"/>
                    </pic:cNvPicPr>
                  </pic:nvPicPr>
                  <pic:blipFill>
                    <a:blip r:embed="rId6">
                      <a:extLst>
                        <a:ext uri="{28A0092B-C50C-407E-A947-70E740481C1C}">
                          <a14:useLocalDpi xmlns:a14="http://schemas.microsoft.com/office/drawing/2010/main" val="0"/>
                        </a:ext>
                      </a:extLst>
                    </a:blip>
                    <a:srcRect r="693" b="22891"/>
                    <a:stretch>
                      <a:fillRect/>
                    </a:stretch>
                  </pic:blipFill>
                  <pic:spPr>
                    <a:xfrm>
                      <a:off x="0" y="0"/>
                      <a:ext cx="3444240" cy="2009775"/>
                    </a:xfrm>
                    <a:prstGeom prst="rect">
                      <a:avLst/>
                    </a:prstGeom>
                    <a:noFill/>
                    <a:ln>
                      <a:noFill/>
                    </a:ln>
                  </pic:spPr>
                </pic:pic>
              </a:graphicData>
            </a:graphic>
          </wp:anchor>
        </w:drawing>
      </w:r>
      <w:r>
        <w:rPr>
          <w:rFonts w:eastAsia="仿宋_GB2312"/>
          <w:sz w:val="32"/>
          <w:szCs w:val="32"/>
        </w:rPr>
        <w:t>湖南省是水利大省，省委、省政府高度重视水利工作，全力推进水利建设，坚持不懈治水兴湘。国务院总理李克强曾指出，重大水利工程建设“利”在当代,“功”在千秋。省委书记杜家毫也曾提出强调“湖南最大的省情就是水情”。新时代下，全省水利事业要以习近平新时代中国特色社会主义思想为指导，为保障人民生命安全、建设富饶美丽幸福新湖南做出重要贡献。</w:t>
      </w:r>
    </w:p>
    <w:p>
      <w:pPr>
        <w:spacing w:line="60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51072" behindDoc="0" locked="0" layoutInCell="1" allowOverlap="1">
                <wp:simplePos x="0" y="0"/>
                <wp:positionH relativeFrom="column">
                  <wp:posOffset>2169795</wp:posOffset>
                </wp:positionH>
                <wp:positionV relativeFrom="paragraph">
                  <wp:posOffset>3314065</wp:posOffset>
                </wp:positionV>
                <wp:extent cx="2459355" cy="394335"/>
                <wp:effectExtent l="0" t="0" r="0" b="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59420" cy="39413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ind w:firstLine="360" w:firstLineChars="200"/>
                              <w:rPr>
                                <w:sz w:val="16"/>
                              </w:rPr>
                            </w:pPr>
                            <w:r>
                              <w:rPr>
                                <w:rFonts w:hint="eastAsia" w:ascii="黑体" w:hAnsi="黑体" w:eastAsia="黑体"/>
                                <w:sz w:val="18"/>
                                <w:szCs w:val="36"/>
                              </w:rPr>
                              <w:t>涔天河水库扩建工程施工现场</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0.85pt;margin-top:260.95pt;height:31.05pt;width:193.65pt;z-index:251651072;mso-width-relative:page;mso-height-relative:page;" filled="f" stroked="f" coordsize="21600,21600" o:gfxdata="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oA7/I2AAAAAsBAAAPAAAAAAAAAAEAIAAAACIAAABkcnMvZG93bnJldi54&#10;bWxQSwECFAAUAAAACACHTuJAHgtDSvoBAADKAwAADgAAAAAAAAABACAAAAAnAQAAZHJzL2Uyb0Rv&#10;Yy54bWxQSwUGAAAAAAYABgBZAQAAkwUAAAAA&#10;">
                <v:fill on="f" focussize="0,0"/>
                <v:stroke on="f"/>
                <v:imagedata o:title=""/>
                <o:lock v:ext="edit" aspectratio="f"/>
                <v:textbox>
                  <w:txbxContent>
                    <w:p>
                      <w:pPr>
                        <w:ind w:firstLine="360" w:firstLineChars="200"/>
                        <w:rPr>
                          <w:sz w:val="16"/>
                        </w:rPr>
                      </w:pPr>
                      <w:r>
                        <w:rPr>
                          <w:rFonts w:hint="eastAsia" w:ascii="黑体" w:hAnsi="黑体" w:eastAsia="黑体"/>
                          <w:sz w:val="18"/>
                          <w:szCs w:val="36"/>
                        </w:rPr>
                        <w:t>涔天河水库扩建工程施工现场</w:t>
                      </w:r>
                    </w:p>
                  </w:txbxContent>
                </v:textbox>
              </v:shape>
            </w:pict>
          </mc:Fallback>
        </mc:AlternateContent>
      </w:r>
      <w:r>
        <w:rPr>
          <w:rFonts w:eastAsia="仿宋_GB2312"/>
          <w:sz w:val="32"/>
          <w:szCs w:val="32"/>
        </w:rPr>
        <w:drawing>
          <wp:anchor distT="0" distB="0" distL="114300" distR="114300" simplePos="0" relativeHeight="251645952" behindDoc="1" locked="0" layoutInCell="1" allowOverlap="1">
            <wp:simplePos x="0" y="0"/>
            <wp:positionH relativeFrom="margin">
              <wp:align>right</wp:align>
            </wp:positionH>
            <wp:positionV relativeFrom="paragraph">
              <wp:posOffset>1114425</wp:posOffset>
            </wp:positionV>
            <wp:extent cx="3724275" cy="2219325"/>
            <wp:effectExtent l="19050" t="0" r="9525" b="0"/>
            <wp:wrapTight wrapText="bothSides">
              <wp:wrapPolygon>
                <wp:start x="-110" y="0"/>
                <wp:lineTo x="-110" y="21507"/>
                <wp:lineTo x="21655" y="21507"/>
                <wp:lineTo x="21655" y="0"/>
                <wp:lineTo x="-110" y="0"/>
              </wp:wrapPolygon>
            </wp:wrapTight>
            <wp:docPr id="8" name="图片 8" descr="http://www.jhxww.cn/upload/news/201608/2016080816580789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jhxww.cn/upload/news/201608/20160808165807893047.jpg"/>
                    <pic:cNvPicPr>
                      <a:picLocks noChangeAspect="1" noChangeArrowheads="1"/>
                    </pic:cNvPicPr>
                  </pic:nvPicPr>
                  <pic:blipFill>
                    <a:blip r:embed="rId7">
                      <a:extLst>
                        <a:ext uri="{28A0092B-C50C-407E-A947-70E740481C1C}">
                          <a14:useLocalDpi xmlns:a14="http://schemas.microsoft.com/office/drawing/2010/main" val="0"/>
                        </a:ext>
                      </a:extLst>
                    </a:blip>
                    <a:srcRect b="19207"/>
                    <a:stretch>
                      <a:fillRect/>
                    </a:stretch>
                  </pic:blipFill>
                  <pic:spPr>
                    <a:xfrm>
                      <a:off x="0" y="0"/>
                      <a:ext cx="3724275" cy="2219325"/>
                    </a:xfrm>
                    <a:prstGeom prst="rect">
                      <a:avLst/>
                    </a:prstGeom>
                    <a:noFill/>
                    <a:ln>
                      <a:noFill/>
                    </a:ln>
                  </pic:spPr>
                </pic:pic>
              </a:graphicData>
            </a:graphic>
          </wp:anchor>
        </w:drawing>
      </w:r>
      <w:r>
        <w:rPr>
          <w:rFonts w:eastAsia="仿宋_GB2312"/>
          <w:sz w:val="32"/>
          <w:szCs w:val="32"/>
        </w:rPr>
        <w:t>2017年，湖南省发生7 次较强洪涝灾害过程，出现历史罕见的特大汛情灾情，累计影响14个市州。全省各级党委政府沉着应对，全省最终未垮一库一坝、未溃一堤一垸，夺取了防汛抗灾全面胜利。农村饮水安全巩固提升受益人口463.7万人，完成高效节水灌溉面积36.63万亩，治理水土流失面积2085平方公里。在依法治水管水方面，强化水利工程管理，以“三制一行动”为抓手，继续推进大中型水库大坝“三年行动计划”，全面加强水利工程建设和质量管理。重大水利工程在防灾减灾中发挥了十分重要的作用，彰显了为民兴水责任担当。</w:t>
      </w:r>
    </w:p>
    <w:p>
      <w:pPr>
        <w:spacing w:line="600" w:lineRule="exact"/>
        <w:ind w:firstLine="640" w:firstLineChars="200"/>
        <w:rPr>
          <w:rFonts w:eastAsia="仿宋_GB2312"/>
          <w:sz w:val="32"/>
          <w:szCs w:val="32"/>
        </w:rPr>
      </w:pPr>
      <w:r>
        <w:rPr>
          <w:rFonts w:eastAsia="仿宋_GB2312"/>
          <w:sz w:val="32"/>
          <w:szCs w:val="32"/>
        </w:rPr>
        <w:t>重大水利工程建设项目专项资金重点支持重大水利项目、面上水利项目建设和水利管理等。2017年重大水利工程建设共投入省级财政资金93420万元，主要用于莽山水库工程省级配套、涔天河水库建设、省级小型农田水利建设，农业水价综合改革、基层水管单位能力建设等方面，其中：</w:t>
      </w:r>
    </w:p>
    <w:p>
      <w:pPr>
        <w:spacing w:line="600" w:lineRule="exact"/>
        <w:ind w:firstLine="640" w:firstLineChars="200"/>
        <w:rPr>
          <w:rFonts w:eastAsia="仿宋_GB2312"/>
          <w:sz w:val="32"/>
          <w:szCs w:val="32"/>
        </w:rPr>
      </w:pPr>
      <w:r>
        <w:rPr>
          <w:rFonts w:eastAsia="仿宋_GB2312"/>
          <w:sz w:val="32"/>
          <w:szCs w:val="32"/>
        </w:rPr>
        <w:t>1．《湖南省财政厅关于下达2017年度基层水管单位能力建设补助资金的通知》（湘财农指〔2017〕74号）安排资金2410万元。</w:t>
      </w:r>
    </w:p>
    <w:p>
      <w:pPr>
        <w:spacing w:line="600" w:lineRule="exact"/>
        <w:ind w:firstLine="640" w:firstLineChars="200"/>
        <w:rPr>
          <w:rFonts w:eastAsia="仿宋_GB2312"/>
          <w:sz w:val="32"/>
          <w:szCs w:val="32"/>
        </w:rPr>
      </w:pPr>
      <w:r>
        <w:rPr>
          <w:rFonts w:eastAsia="仿宋_GB2312"/>
          <w:sz w:val="32"/>
          <w:szCs w:val="32"/>
        </w:rPr>
        <w:t>2．《湖南省财政厅关于安排2017年农田水利综合改革试点资金的通知》（湘财农指〔2017〕75号）安排资金2590万元。</w:t>
      </w:r>
    </w:p>
    <w:p>
      <w:pPr>
        <w:spacing w:line="600" w:lineRule="exact"/>
        <w:ind w:firstLine="640" w:firstLineChars="200"/>
        <w:rPr>
          <w:rFonts w:eastAsia="仿宋_GB2312"/>
          <w:sz w:val="32"/>
          <w:szCs w:val="32"/>
        </w:rPr>
      </w:pPr>
      <w:r>
        <w:rPr>
          <w:rFonts w:eastAsia="仿宋_GB2312"/>
          <w:sz w:val="32"/>
          <w:szCs w:val="32"/>
        </w:rPr>
        <w:t>3．《湖南省财政厅关于安排2017年</w:t>
      </w:r>
      <w:bookmarkStart w:id="4" w:name="_Hlk510622869"/>
      <w:r>
        <w:rPr>
          <w:rFonts w:eastAsia="仿宋_GB2312"/>
          <w:sz w:val="32"/>
          <w:szCs w:val="32"/>
        </w:rPr>
        <w:t>农业水价综合改革资金</w:t>
      </w:r>
      <w:bookmarkEnd w:id="4"/>
      <w:r>
        <w:rPr>
          <w:rFonts w:eastAsia="仿宋_GB2312"/>
          <w:sz w:val="32"/>
          <w:szCs w:val="32"/>
        </w:rPr>
        <w:t>的通知》（湘财农指〔2017〕76号）安排资金4000万元。</w:t>
      </w:r>
    </w:p>
    <w:p>
      <w:pPr>
        <w:spacing w:line="600" w:lineRule="exact"/>
        <w:ind w:firstLine="640" w:firstLineChars="200"/>
        <w:rPr>
          <w:rFonts w:eastAsia="仿宋_GB2312"/>
          <w:sz w:val="32"/>
          <w:szCs w:val="32"/>
        </w:rPr>
      </w:pPr>
      <w:r>
        <w:rPr>
          <w:rFonts w:eastAsia="仿宋_GB2312"/>
          <w:sz w:val="32"/>
          <w:szCs w:val="32"/>
        </w:rPr>
        <w:t>4．《湖南省财政厅关于拨付2017年</w:t>
      </w:r>
      <w:bookmarkStart w:id="5" w:name="_Hlk510622889"/>
      <w:r>
        <w:rPr>
          <w:rFonts w:eastAsia="仿宋_GB2312"/>
          <w:sz w:val="32"/>
          <w:szCs w:val="32"/>
        </w:rPr>
        <w:t>省级小型农田水利建设资金</w:t>
      </w:r>
      <w:bookmarkEnd w:id="5"/>
      <w:r>
        <w:rPr>
          <w:rFonts w:eastAsia="仿宋_GB2312"/>
          <w:sz w:val="32"/>
          <w:szCs w:val="32"/>
        </w:rPr>
        <w:t>的通知》（湘财农指〔2017〕82号）安排资金3920万元。</w:t>
      </w:r>
    </w:p>
    <w:p>
      <w:pPr>
        <w:spacing w:line="600" w:lineRule="exact"/>
        <w:ind w:firstLine="640" w:firstLineChars="200"/>
        <w:rPr>
          <w:rFonts w:eastAsia="仿宋_GB2312"/>
          <w:sz w:val="32"/>
          <w:szCs w:val="32"/>
        </w:rPr>
      </w:pPr>
      <w:r>
        <w:rPr>
          <w:rFonts w:eastAsia="仿宋_GB2312"/>
          <w:sz w:val="32"/>
          <w:szCs w:val="32"/>
        </w:rPr>
        <w:t>5．《湖南省财政厅关于下达2017年</w:t>
      </w:r>
      <w:bookmarkStart w:id="6" w:name="_Hlk510622908"/>
      <w:r>
        <w:rPr>
          <w:rFonts w:eastAsia="仿宋_GB2312"/>
          <w:sz w:val="32"/>
          <w:szCs w:val="32"/>
        </w:rPr>
        <w:t>莽山水库工程省级配套等省级水利资金的通知》（湘财农指〔2017〕209号）安排资金45500万元。</w:t>
      </w:r>
    </w:p>
    <w:bookmarkEnd w:id="6"/>
    <w:p>
      <w:pPr>
        <w:spacing w:line="600" w:lineRule="exact"/>
        <w:ind w:firstLine="640" w:firstLineChars="200"/>
        <w:rPr>
          <w:rFonts w:eastAsia="仿宋_GB2312"/>
          <w:sz w:val="32"/>
          <w:szCs w:val="32"/>
        </w:rPr>
      </w:pPr>
      <w:r>
        <w:rPr>
          <w:rFonts w:eastAsia="仿宋_GB2312"/>
          <w:sz w:val="32"/>
          <w:szCs w:val="32"/>
        </w:rPr>
        <w:t>6．《湖南省财政厅关于提前下达2017年</w:t>
      </w:r>
      <w:bookmarkStart w:id="7" w:name="_Hlk510622925"/>
      <w:r>
        <w:rPr>
          <w:rFonts w:eastAsia="仿宋_GB2312"/>
          <w:sz w:val="32"/>
          <w:szCs w:val="32"/>
        </w:rPr>
        <w:t>涔天河水库建设资金的通知》（湘财农指〔2016〕211号）安排资金35000万元。</w:t>
      </w:r>
    </w:p>
    <w:bookmarkEnd w:id="7"/>
    <w:p>
      <w:pPr>
        <w:pStyle w:val="3"/>
        <w:keepNext w:val="0"/>
        <w:keepLines w:val="0"/>
        <w:spacing w:line="600" w:lineRule="exact"/>
        <w:ind w:firstLine="643" w:firstLineChars="200"/>
        <w:rPr>
          <w:rFonts w:ascii="Times New Roman" w:hAnsi="Times New Roman" w:eastAsia="楷体_GB2312" w:cs="Times New Roman"/>
        </w:rPr>
      </w:pPr>
      <w:bookmarkStart w:id="8" w:name="_Toc512350710"/>
      <w:bookmarkStart w:id="9" w:name="_Toc511115249"/>
      <w:r>
        <w:rPr>
          <w:rFonts w:ascii="Times New Roman" w:hAnsi="Times New Roman" w:eastAsia="楷体_GB2312" w:cs="Times New Roman"/>
        </w:rPr>
        <w:t>（二）项目绩效目标</w:t>
      </w:r>
      <w:bookmarkEnd w:id="8"/>
      <w:bookmarkEnd w:id="9"/>
    </w:p>
    <w:p>
      <w:pPr>
        <w:spacing w:line="600" w:lineRule="exact"/>
        <w:ind w:firstLine="643" w:firstLineChars="200"/>
        <w:rPr>
          <w:rFonts w:eastAsia="仿宋_GB2312"/>
          <w:b/>
          <w:sz w:val="32"/>
          <w:szCs w:val="32"/>
        </w:rPr>
      </w:pPr>
      <w:r>
        <w:rPr>
          <w:rFonts w:eastAsia="仿宋_GB2312"/>
          <w:b/>
          <w:sz w:val="32"/>
          <w:szCs w:val="32"/>
        </w:rPr>
        <w:t>1．基层水管单位能力建设补助资金2410万元</w:t>
      </w:r>
    </w:p>
    <w:p>
      <w:pPr>
        <w:spacing w:line="600" w:lineRule="exact"/>
        <w:ind w:firstLine="640" w:firstLineChars="200"/>
        <w:rPr>
          <w:rFonts w:eastAsia="仿宋_GB2312"/>
          <w:sz w:val="32"/>
          <w:szCs w:val="32"/>
        </w:rPr>
      </w:pPr>
      <w:r>
        <w:rPr>
          <w:rFonts w:eastAsia="仿宋_GB2312"/>
          <w:sz w:val="32"/>
          <w:szCs w:val="32"/>
        </w:rPr>
        <w:t>《湖南省财政厅关于下达2017年度基层水管单位能力建设补助资金的通知》（湘财农指〔2017〕74号）安排资金2410万元，用于全省14个市州149个乡镇水利站和2个水库管理单位能力建设。</w:t>
      </w:r>
    </w:p>
    <w:p>
      <w:pPr>
        <w:spacing w:line="600" w:lineRule="exact"/>
        <w:ind w:firstLine="640" w:firstLineChars="200"/>
        <w:rPr>
          <w:rFonts w:eastAsia="仿宋_GB2312"/>
          <w:sz w:val="32"/>
          <w:szCs w:val="32"/>
        </w:rPr>
      </w:pPr>
      <w:r>
        <w:rPr>
          <w:rFonts w:eastAsia="仿宋_GB2312"/>
          <w:sz w:val="32"/>
          <w:szCs w:val="32"/>
        </w:rPr>
        <w:t>2017年度基层水管单位能力建设补助资金中，邵阳市、张家界市、永州市、郴州市、怀化市、自治州等6市州整合用于精准扶贫，其他9市部分贫困县资金被整合，实际整合资金960万元，剩余1450万元用于89个乡镇水利站和2个水库管理单位能力建设，主要实施内容为：站房改造17446平方米，技术装备购置1766台套，管理制度建立和完善926个，开展技术培训3655人次等。</w:t>
      </w:r>
    </w:p>
    <w:p>
      <w:pPr>
        <w:spacing w:line="600" w:lineRule="exact"/>
        <w:ind w:firstLine="643" w:firstLineChars="200"/>
        <w:rPr>
          <w:rFonts w:eastAsia="仿宋_GB2312"/>
          <w:b/>
          <w:sz w:val="32"/>
          <w:szCs w:val="32"/>
        </w:rPr>
      </w:pPr>
      <w:r>
        <w:rPr>
          <w:rFonts w:eastAsia="仿宋_GB2312"/>
          <w:b/>
          <w:sz w:val="32"/>
          <w:szCs w:val="32"/>
        </w:rPr>
        <w:t>2．农田水利综合改革试点资金2590万元和省级小型农田水利建设资金3920万元</w:t>
      </w:r>
    </w:p>
    <w:p>
      <w:pPr>
        <w:spacing w:line="600" w:lineRule="exact"/>
        <w:ind w:firstLine="640" w:firstLineChars="200"/>
        <w:rPr>
          <w:rFonts w:eastAsia="仿宋_GB2312"/>
          <w:sz w:val="32"/>
          <w:szCs w:val="32"/>
        </w:rPr>
      </w:pPr>
      <w:r>
        <w:rPr>
          <w:rFonts w:eastAsia="仿宋_GB2312"/>
          <w:sz w:val="32"/>
          <w:szCs w:val="32"/>
        </w:rPr>
        <w:t>《湖南省财政厅关于安排2017年农田水利综合改革试点资金的通知》（湘财农指〔2017〕75号）安排资金2590万元。其中2500万元用于长沙县、茶陵县、澧县、南县、涟源市、双峰县、麻阳县、凤凰县等8县市发展高效节水灌溉建设及开展农田水利设施建设、维修养护，90万元用于省级项目管理支出。</w:t>
      </w:r>
    </w:p>
    <w:p>
      <w:pPr>
        <w:spacing w:line="600" w:lineRule="exact"/>
        <w:ind w:firstLine="640" w:firstLineChars="200"/>
        <w:rPr>
          <w:rFonts w:eastAsia="仿宋_GB2312"/>
          <w:sz w:val="32"/>
          <w:szCs w:val="32"/>
        </w:rPr>
      </w:pPr>
      <w:r>
        <w:rPr>
          <w:rFonts w:eastAsia="仿宋_GB2312"/>
          <w:sz w:val="32"/>
          <w:szCs w:val="32"/>
        </w:rPr>
        <w:t>《湖南省财政厅关于拨付2017年省级小型农田水利建设资金的通知》（湘财农指〔2017〕82号）安排资金3920万元，贫困县用于精准扶贫，非贫困县用于小型农田水利建设。</w:t>
      </w:r>
    </w:p>
    <w:p>
      <w:pPr>
        <w:spacing w:line="600" w:lineRule="exact"/>
        <w:ind w:firstLine="640" w:firstLineChars="200"/>
        <w:rPr>
          <w:rFonts w:eastAsia="仿宋_GB2312"/>
          <w:sz w:val="32"/>
          <w:szCs w:val="32"/>
        </w:rPr>
      </w:pPr>
      <w:r>
        <w:rPr>
          <w:rFonts w:eastAsia="仿宋_GB2312"/>
          <w:sz w:val="32"/>
          <w:szCs w:val="32"/>
        </w:rPr>
        <w:t>上述资金主要建设内容为：新增高效节水面积13500亩，维修养护渠道92.76公里，渠系建筑物579处，整治山塘29处，新建和改造泵站21座，维修养护水库9座。</w:t>
      </w:r>
    </w:p>
    <w:p>
      <w:pPr>
        <w:spacing w:line="600" w:lineRule="exact"/>
        <w:ind w:firstLine="643" w:firstLineChars="200"/>
        <w:rPr>
          <w:rFonts w:eastAsia="仿宋_GB2312"/>
          <w:b/>
          <w:sz w:val="32"/>
          <w:szCs w:val="32"/>
        </w:rPr>
      </w:pPr>
      <w:r>
        <w:rPr>
          <w:rFonts w:eastAsia="仿宋_GB2312"/>
          <w:b/>
          <w:sz w:val="32"/>
          <w:szCs w:val="32"/>
        </w:rPr>
        <w:t>3．农业水价综合改革资金4000万元</w:t>
      </w:r>
    </w:p>
    <w:p>
      <w:pPr>
        <w:spacing w:line="600" w:lineRule="exact"/>
        <w:ind w:firstLine="640" w:firstLineChars="200"/>
        <w:rPr>
          <w:rFonts w:eastAsia="仿宋_GB2312"/>
          <w:sz w:val="32"/>
          <w:szCs w:val="32"/>
        </w:rPr>
      </w:pPr>
      <w:r>
        <w:rPr>
          <w:rFonts w:eastAsia="仿宋_GB2312"/>
          <w:sz w:val="32"/>
          <w:szCs w:val="32"/>
        </w:rPr>
        <w:t>《湖南省财政厅关于安排2017年农业水价综合改革资金的通知》（湘财农指〔2017〕76号）安排资金4000万元，主要用于渠系及建筑物改造、计量设施、协会能力建设等。</w:t>
      </w:r>
    </w:p>
    <w:p>
      <w:pPr>
        <w:spacing w:line="600" w:lineRule="exact"/>
        <w:ind w:firstLine="640" w:firstLineChars="200"/>
        <w:rPr>
          <w:rFonts w:eastAsia="仿宋_GB2312"/>
          <w:sz w:val="32"/>
          <w:szCs w:val="32"/>
        </w:rPr>
      </w:pPr>
      <w:r>
        <w:rPr>
          <w:rFonts w:eastAsia="仿宋_GB2312"/>
          <w:sz w:val="32"/>
          <w:szCs w:val="32"/>
        </w:rPr>
        <w:t>2017年农业水价综合改革资金主要安排在宁乡市（黄材灌区）、攸县、茶陵县、岳阳县（铁山灌区）、澧县、绥宁县、安仁县、安化县、涟源市、鹤城区共10个农业水价综合改革项目县。计划覆盖灌区面积13.75万亩，新建及整改渠道128.78公里，计量设施建设282处；用水户协会建设34个。</w:t>
      </w:r>
    </w:p>
    <w:p>
      <w:pPr>
        <w:spacing w:line="600" w:lineRule="exact"/>
        <w:ind w:firstLine="643" w:firstLineChars="200"/>
        <w:rPr>
          <w:rFonts w:eastAsia="仿宋_GB2312"/>
          <w:b/>
          <w:sz w:val="32"/>
          <w:szCs w:val="32"/>
        </w:rPr>
      </w:pPr>
      <w:r>
        <w:rPr>
          <w:rFonts w:eastAsia="仿宋_GB2312"/>
          <w:b/>
          <w:sz w:val="32"/>
          <w:szCs w:val="32"/>
        </w:rPr>
        <w:t>4．莽山水库工程省级配套等省级水利资金45500万元</w:t>
      </w:r>
    </w:p>
    <w:p>
      <w:pPr>
        <w:spacing w:line="600" w:lineRule="exact"/>
        <w:ind w:firstLine="640" w:firstLineChars="200"/>
        <w:rPr>
          <w:rFonts w:eastAsia="仿宋_GB2312"/>
          <w:sz w:val="32"/>
          <w:szCs w:val="32"/>
        </w:rPr>
      </w:pPr>
      <w:r>
        <w:rPr>
          <w:rFonts w:eastAsia="仿宋_GB2312"/>
          <w:sz w:val="32"/>
          <w:szCs w:val="32"/>
        </w:rPr>
        <w:t>《湖南省财政厅关于下达2017年莽山水库工程省级配套等省级水利资金的通知》（湘财农指〔2017〕209号）安排资金45500万元，其中用于莽山水库工程10000万元，毛俊水库工程8000万元，黄盖湖防洪治理工程2500万元，钱粮湖、共双茶、大通湖东垸三垸蓄洪安全建设一期工程20000万元，钱粮湖、共双茶、大通湖东垸三垸蓄洪工程分洪闸工程5000万元。</w:t>
      </w:r>
    </w:p>
    <w:p>
      <w:pPr>
        <w:spacing w:line="600" w:lineRule="exact"/>
        <w:ind w:firstLine="640" w:firstLineChars="200"/>
        <w:rPr>
          <w:rFonts w:eastAsia="仿宋_GB2312"/>
          <w:sz w:val="32"/>
          <w:szCs w:val="32"/>
        </w:rPr>
      </w:pPr>
      <w:r>
        <w:rPr>
          <w:rFonts w:hint="eastAsia" w:ascii="宋体" w:hAnsi="宋体" w:eastAsia="宋体" w:cs="宋体"/>
          <w:sz w:val="32"/>
          <w:szCs w:val="32"/>
        </w:rPr>
        <w:t>①</w:t>
      </w:r>
      <w:r>
        <w:rPr>
          <w:rFonts w:eastAsia="仿宋_GB2312"/>
          <w:sz w:val="32"/>
          <w:szCs w:val="32"/>
        </w:rPr>
        <w:t>莽山水库工程计划安装281.5m引水发电隧洞压力钢管，发电厂房主体结构封顶，同步安装机组设备，开工建设隧洞15条，渡槽17座、倒虹吸4处、明渠42段，计划征地8578.8亩，计划租地1535亩；</w:t>
      </w:r>
      <w:r>
        <w:rPr>
          <w:rFonts w:hint="eastAsia" w:ascii="宋体" w:hAnsi="宋体" w:eastAsia="宋体" w:cs="宋体"/>
          <w:sz w:val="32"/>
          <w:szCs w:val="32"/>
        </w:rPr>
        <w:t>②</w:t>
      </w:r>
      <w:r>
        <w:rPr>
          <w:rFonts w:eastAsia="仿宋_GB2312"/>
          <w:sz w:val="32"/>
          <w:szCs w:val="32"/>
        </w:rPr>
        <w:t>毛俊水库工程计划完成淹没补偿及移民征地拆迁补偿5000万元，支付勘测设计费3000万元；</w:t>
      </w:r>
      <w:r>
        <w:rPr>
          <w:rFonts w:hint="eastAsia" w:ascii="宋体" w:hAnsi="宋体" w:eastAsia="宋体" w:cs="宋体"/>
          <w:sz w:val="32"/>
          <w:szCs w:val="32"/>
        </w:rPr>
        <w:t>③</w:t>
      </w:r>
      <w:r>
        <w:rPr>
          <w:rFonts w:eastAsia="仿宋_GB2312"/>
          <w:sz w:val="32"/>
          <w:szCs w:val="32"/>
        </w:rPr>
        <w:t>黄盖湖防洪治理工程计划对黄盖湖、中山湖、杨花咀和冶湖渍堤4处堤垸应急处险工程，计划堤防加高培厚长度22.15公里，护岸工程1.64 公里，雷诺护坡12.13公里，堤身隐患处理5.4公里，堤基防渗处理2.8 公里，填塘固基9.6公里，堤顶防汛公路22.15 公里，重（改）建穿堤建筑物15座（其中新建电排6处），分洪闸1处，拆迁内坡30米范围内房屋195户29250平方米，新建集中安置点2处，占地240亩，集中新建房屋166户；</w:t>
      </w:r>
      <w:r>
        <w:rPr>
          <w:rFonts w:hint="eastAsia" w:ascii="宋体" w:hAnsi="宋体" w:eastAsia="宋体" w:cs="宋体"/>
          <w:sz w:val="32"/>
          <w:szCs w:val="32"/>
        </w:rPr>
        <w:t>④</w:t>
      </w:r>
      <w:r>
        <w:rPr>
          <w:rFonts w:eastAsia="仿宋_GB2312"/>
          <w:sz w:val="32"/>
          <w:szCs w:val="32"/>
        </w:rPr>
        <w:t>钱粮湖、共双茶、大通湖东垸三垸蓄洪安全建设一期工程计划完成新堤土方填筑300万方，防渗墙、新建涵闸、新建堤防基础处理等工程；</w:t>
      </w:r>
      <w:r>
        <w:rPr>
          <w:rFonts w:hint="eastAsia" w:ascii="宋体" w:hAnsi="宋体" w:eastAsia="宋体" w:cs="宋体"/>
          <w:sz w:val="32"/>
          <w:szCs w:val="32"/>
        </w:rPr>
        <w:t>⑤</w:t>
      </w:r>
      <w:r>
        <w:rPr>
          <w:rFonts w:eastAsia="仿宋_GB2312"/>
          <w:sz w:val="32"/>
          <w:szCs w:val="32"/>
        </w:rPr>
        <w:t>钱粮湖、共双茶、大通湖东垸三垸蓄洪工程分洪闸工程计划完成项目征地拆迁、营地建设、工程备料，土石方5万方，搅拌桩施工20万米等。</w:t>
      </w:r>
    </w:p>
    <w:p>
      <w:pPr>
        <w:spacing w:line="600" w:lineRule="exact"/>
        <w:ind w:firstLine="643" w:firstLineChars="200"/>
        <w:rPr>
          <w:rFonts w:eastAsia="仿宋_GB2312"/>
          <w:b/>
          <w:sz w:val="32"/>
          <w:szCs w:val="32"/>
        </w:rPr>
      </w:pPr>
      <w:r>
        <w:rPr>
          <w:rFonts w:eastAsia="仿宋_GB2312"/>
          <w:b/>
          <w:sz w:val="32"/>
          <w:szCs w:val="32"/>
        </w:rPr>
        <w:t>5．涔天河水库建设资金35000万元</w:t>
      </w:r>
    </w:p>
    <w:p>
      <w:pPr>
        <w:spacing w:line="600" w:lineRule="exact"/>
        <w:ind w:firstLine="640" w:firstLineChars="200"/>
        <w:rPr>
          <w:rFonts w:eastAsia="仿宋_GB2312"/>
          <w:sz w:val="32"/>
          <w:szCs w:val="32"/>
        </w:rPr>
      </w:pPr>
      <w:r>
        <w:rPr>
          <w:rFonts w:eastAsia="仿宋_GB2312"/>
          <w:sz w:val="32"/>
          <w:szCs w:val="32"/>
        </w:rPr>
        <w:t>《湖南省财政厅关于提前下达2017年</w:t>
      </w:r>
      <w:bookmarkStart w:id="10" w:name="_Hlk510969835"/>
      <w:r>
        <w:rPr>
          <w:rFonts w:eastAsia="仿宋_GB2312"/>
          <w:sz w:val="32"/>
          <w:szCs w:val="32"/>
        </w:rPr>
        <w:t>涔天河水库建设</w:t>
      </w:r>
      <w:bookmarkEnd w:id="10"/>
      <w:r>
        <w:rPr>
          <w:rFonts w:eastAsia="仿宋_GB2312"/>
          <w:sz w:val="32"/>
          <w:szCs w:val="32"/>
        </w:rPr>
        <w:t>资金的通知》（湘财农指〔2016〕211号）安排资金35000万元，用于涔天河水库建设。</w:t>
      </w:r>
    </w:p>
    <w:p>
      <w:pPr>
        <w:spacing w:line="600" w:lineRule="exact"/>
        <w:ind w:firstLine="640" w:firstLineChars="200"/>
        <w:rPr>
          <w:rFonts w:eastAsia="仿宋_GB2312"/>
          <w:sz w:val="32"/>
          <w:szCs w:val="32"/>
        </w:rPr>
      </w:pPr>
      <w:r>
        <w:rPr>
          <w:rFonts w:eastAsia="仿宋_GB2312"/>
          <w:sz w:val="32"/>
          <w:szCs w:val="32"/>
        </w:rPr>
        <w:t>2017年涔天河水库建设计划混凝土面板堆石坝二期面板、坝顶防浪墙、坝顶公路完工，1#泄洪洞和 2#泄洪洞、引水发电洞完工，4台机组安装完工，完成移民安置点建房和库区剩余人口的搬迁安置任务；完成安置点基础设施的建设；完成库区电力、通信、水文、广播电视、文物等专项设施的复建工作。</w:t>
      </w:r>
    </w:p>
    <w:p>
      <w:pPr>
        <w:pStyle w:val="2"/>
        <w:keepNext w:val="0"/>
        <w:keepLines w:val="0"/>
        <w:spacing w:before="0" w:after="0" w:line="600" w:lineRule="exact"/>
        <w:ind w:firstLine="643" w:firstLineChars="200"/>
        <w:rPr>
          <w:szCs w:val="32"/>
        </w:rPr>
      </w:pPr>
      <w:bookmarkStart w:id="11" w:name="_Toc512350711"/>
      <w:bookmarkStart w:id="12" w:name="_Toc511115250"/>
      <w:r>
        <w:rPr>
          <w:szCs w:val="32"/>
        </w:rPr>
        <w:t>二、项目实施及管理情况</w:t>
      </w:r>
      <w:bookmarkEnd w:id="11"/>
      <w:bookmarkEnd w:id="12"/>
      <w:r>
        <w:rPr>
          <w:szCs w:val="32"/>
        </w:rPr>
        <w:tab/>
      </w:r>
    </w:p>
    <w:p>
      <w:pPr>
        <w:pStyle w:val="3"/>
        <w:keepNext w:val="0"/>
        <w:keepLines w:val="0"/>
        <w:spacing w:line="600" w:lineRule="exact"/>
        <w:ind w:firstLine="643" w:firstLineChars="200"/>
        <w:rPr>
          <w:rFonts w:ascii="Times New Roman" w:hAnsi="Times New Roman" w:eastAsia="楷体_GB2312" w:cs="Times New Roman"/>
        </w:rPr>
      </w:pPr>
      <w:bookmarkStart w:id="13" w:name="_Toc511115251"/>
      <w:bookmarkStart w:id="14" w:name="_Toc512350712"/>
      <w:r>
        <w:rPr>
          <w:rFonts w:ascii="Times New Roman" w:hAnsi="Times New Roman" w:eastAsia="楷体_GB2312" w:cs="Times New Roman"/>
        </w:rPr>
        <w:t>（一）资金计划、到位及使用情况</w:t>
      </w:r>
      <w:bookmarkEnd w:id="13"/>
      <w:bookmarkEnd w:id="14"/>
    </w:p>
    <w:p>
      <w:pPr>
        <w:spacing w:line="600" w:lineRule="exact"/>
        <w:ind w:firstLine="640" w:firstLineChars="200"/>
        <w:rPr>
          <w:rFonts w:eastAsia="仿宋_GB2312"/>
          <w:sz w:val="32"/>
          <w:szCs w:val="32"/>
        </w:rPr>
      </w:pPr>
      <w:r>
        <w:rPr>
          <w:rFonts w:eastAsia="仿宋_GB2312"/>
          <w:sz w:val="32"/>
          <w:szCs w:val="32"/>
        </w:rPr>
        <w:t>对各县（市、区）分配资金时，主要采取因素法。对省委省政府明确的重点建设项目以及水利建设任务较少的县市区，采取定额补助。因素法的分配因素主要考虑：以省委省政府决策部署，确定的水利发展目标任务为依据，通过相关规划或实施方案明确的任务量（或投资额）测算；以中西部地区及贫困县的个数为依据；以监督检查结果和预算执行进度等为依据。</w:t>
      </w:r>
    </w:p>
    <w:p>
      <w:pPr>
        <w:pStyle w:val="4"/>
        <w:keepNext w:val="0"/>
        <w:keepLines w:val="0"/>
        <w:spacing w:line="600" w:lineRule="exact"/>
        <w:ind w:left="0" w:leftChars="0" w:firstLine="643" w:firstLineChars="200"/>
        <w:rPr>
          <w:rFonts w:eastAsia="仿宋_GB2312"/>
          <w:sz w:val="32"/>
        </w:rPr>
      </w:pPr>
      <w:bookmarkStart w:id="15" w:name="_Toc512350713"/>
      <w:bookmarkStart w:id="16" w:name="_Toc511115252"/>
      <w:r>
        <w:rPr>
          <w:rFonts w:eastAsia="仿宋_GB2312"/>
          <w:sz w:val="32"/>
        </w:rPr>
        <w:t>1．资金计划及到位情况</w:t>
      </w:r>
      <w:bookmarkEnd w:id="15"/>
      <w:bookmarkEnd w:id="16"/>
    </w:p>
    <w:p>
      <w:pPr>
        <w:pStyle w:val="5"/>
        <w:keepNext w:val="0"/>
        <w:keepLines w:val="0"/>
        <w:spacing w:line="600" w:lineRule="exact"/>
        <w:ind w:firstLine="640" w:firstLineChars="200"/>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t>（1）基层水管单位能力建设补助资金</w:t>
      </w:r>
    </w:p>
    <w:p>
      <w:pPr>
        <w:spacing w:line="600" w:lineRule="exact"/>
        <w:ind w:firstLine="640" w:firstLineChars="200"/>
        <w:rPr>
          <w:rFonts w:eastAsia="仿宋_GB2312"/>
          <w:sz w:val="32"/>
          <w:szCs w:val="32"/>
        </w:rPr>
      </w:pPr>
      <w:r>
        <w:rPr>
          <w:rFonts w:eastAsia="仿宋_GB2312"/>
          <w:sz w:val="32"/>
          <w:szCs w:val="32"/>
        </w:rPr>
        <w:t>2017年基层水管单位能力建设补助资金批复安排省级财政资金2410万元。截至2017年12月31日，实际到位专项资金2410万元，到位率为100%。</w:t>
      </w:r>
    </w:p>
    <w:p>
      <w:pPr>
        <w:spacing w:line="600" w:lineRule="exact"/>
        <w:ind w:firstLine="560" w:firstLineChars="200"/>
        <w:jc w:val="center"/>
        <w:rPr>
          <w:rFonts w:eastAsia="方正小标宋_GBK"/>
          <w:sz w:val="32"/>
        </w:rPr>
      </w:pPr>
      <w:r>
        <w:rPr>
          <w:rFonts w:eastAsia="方正小标宋_GBK"/>
          <w:b/>
          <w:bCs/>
          <w:kern w:val="0"/>
          <w:sz w:val="28"/>
          <w:szCs w:val="24"/>
        </w:rPr>
        <w:t>2017年基层水管单位能力建设资金计划及到位情况表</w:t>
      </w:r>
    </w:p>
    <w:tbl>
      <w:tblPr>
        <w:tblStyle w:val="21"/>
        <w:tblW w:w="9026" w:type="dxa"/>
        <w:jc w:val="center"/>
        <w:tblInd w:w="-5" w:type="dxa"/>
        <w:tblLayout w:type="fixed"/>
        <w:tblCellMar>
          <w:top w:w="0" w:type="dxa"/>
          <w:left w:w="108" w:type="dxa"/>
          <w:bottom w:w="0" w:type="dxa"/>
          <w:right w:w="108" w:type="dxa"/>
        </w:tblCellMar>
      </w:tblPr>
      <w:tblGrid>
        <w:gridCol w:w="727"/>
        <w:gridCol w:w="1883"/>
        <w:gridCol w:w="1905"/>
        <w:gridCol w:w="3058"/>
        <w:gridCol w:w="1453"/>
      </w:tblGrid>
      <w:tr>
        <w:tblPrEx>
          <w:tblLayout w:type="fixed"/>
          <w:tblCellMar>
            <w:top w:w="0" w:type="dxa"/>
            <w:left w:w="108" w:type="dxa"/>
            <w:bottom w:w="0" w:type="dxa"/>
            <w:right w:w="108" w:type="dxa"/>
          </w:tblCellMar>
        </w:tblPrEx>
        <w:trPr>
          <w:trHeight w:val="454" w:hRule="exact"/>
          <w:tblHeader/>
          <w:jc w:val="center"/>
        </w:trPr>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序号</w:t>
            </w:r>
          </w:p>
        </w:tc>
        <w:tc>
          <w:tcPr>
            <w:tcW w:w="18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项目单位</w:t>
            </w:r>
          </w:p>
        </w:tc>
        <w:tc>
          <w:tcPr>
            <w:tcW w:w="190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批复资金（万元）</w:t>
            </w:r>
          </w:p>
        </w:tc>
        <w:tc>
          <w:tcPr>
            <w:tcW w:w="30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实际到位资金（万元）</w:t>
            </w:r>
          </w:p>
        </w:tc>
        <w:tc>
          <w:tcPr>
            <w:tcW w:w="14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到位率</w:t>
            </w:r>
          </w:p>
        </w:tc>
      </w:tr>
      <w:tr>
        <w:tblPrEx>
          <w:tblLayout w:type="fixed"/>
          <w:tblCellMar>
            <w:top w:w="0" w:type="dxa"/>
            <w:left w:w="108" w:type="dxa"/>
            <w:bottom w:w="0" w:type="dxa"/>
            <w:right w:w="108" w:type="dxa"/>
          </w:tblCellMar>
        </w:tblPrEx>
        <w:trPr>
          <w:trHeight w:val="454" w:hRule="exact"/>
          <w:jc w:val="center"/>
        </w:trPr>
        <w:tc>
          <w:tcPr>
            <w:tcW w:w="26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b/>
                <w:bCs/>
                <w:kern w:val="0"/>
                <w:sz w:val="20"/>
                <w:szCs w:val="20"/>
              </w:rPr>
            </w:pPr>
            <w:r>
              <w:rPr>
                <w:rFonts w:eastAsia="宋体"/>
                <w:b/>
                <w:bCs/>
                <w:kern w:val="0"/>
                <w:sz w:val="20"/>
                <w:szCs w:val="20"/>
              </w:rPr>
              <w:t>合  计</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0"/>
                <w:szCs w:val="20"/>
              </w:rPr>
            </w:pPr>
            <w:r>
              <w:rPr>
                <w:rFonts w:eastAsia="等线"/>
                <w:b/>
                <w:bCs/>
                <w:kern w:val="0"/>
                <w:sz w:val="20"/>
                <w:szCs w:val="20"/>
              </w:rPr>
              <w:t>2410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0"/>
                <w:szCs w:val="20"/>
              </w:rPr>
            </w:pPr>
            <w:r>
              <w:rPr>
                <w:rFonts w:eastAsia="等线"/>
                <w:b/>
                <w:bCs/>
                <w:kern w:val="0"/>
                <w:sz w:val="20"/>
                <w:szCs w:val="20"/>
              </w:rPr>
              <w:t>2410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b/>
                <w:kern w:val="0"/>
                <w:sz w:val="20"/>
                <w:szCs w:val="20"/>
              </w:rPr>
            </w:pPr>
            <w:r>
              <w:rPr>
                <w:rFonts w:eastAsia="等线"/>
                <w:b/>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长沙县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株洲市</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湘潭县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耒阳市</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180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180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祁东县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隆回县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7</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邵阳县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8</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城步县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9</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湘阴县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汨罗市</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11</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华容县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12</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平江县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13</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岳阳县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115</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115</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14</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鼎城区</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145</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145</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临澧县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16</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安乡县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17</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石门县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18</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汉寿县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19</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桑植县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资阳区</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21</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赫山区</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22</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南县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23</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沅江市</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24</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桃江县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安化县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220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220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26</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汝城县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27</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宁远县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28</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涟源市</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29</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新化县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沅陵县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31</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芷江县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32</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新晃县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33</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会同县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34</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中方县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泸溪县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36</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保靖县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37</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永顺县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80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80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38</w:t>
            </w:r>
          </w:p>
        </w:tc>
        <w:tc>
          <w:tcPr>
            <w:tcW w:w="1883" w:type="dxa"/>
            <w:tcBorders>
              <w:top w:val="nil"/>
              <w:left w:val="nil"/>
              <w:bottom w:val="single" w:color="auto" w:sz="4" w:space="0"/>
              <w:right w:val="single" w:color="auto" w:sz="4" w:space="0"/>
            </w:tcBorders>
            <w:shd w:val="clear" w:color="auto" w:fill="auto"/>
            <w:vAlign w:val="center"/>
          </w:tcPr>
          <w:p>
            <w:pPr>
              <w:widowControl/>
              <w:ind w:left="273" w:leftChars="91"/>
              <w:jc w:val="left"/>
              <w:rPr>
                <w:rFonts w:eastAsia="宋体"/>
                <w:kern w:val="0"/>
                <w:sz w:val="20"/>
                <w:szCs w:val="20"/>
              </w:rPr>
            </w:pPr>
            <w:r>
              <w:rPr>
                <w:rFonts w:eastAsia="宋体"/>
                <w:kern w:val="0"/>
                <w:sz w:val="20"/>
                <w:szCs w:val="20"/>
              </w:rPr>
              <w:t>龙山县</w:t>
            </w:r>
          </w:p>
        </w:tc>
        <w:tc>
          <w:tcPr>
            <w:tcW w:w="1905"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80</w:t>
            </w:r>
          </w:p>
        </w:tc>
        <w:tc>
          <w:tcPr>
            <w:tcW w:w="305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80</w:t>
            </w:r>
          </w:p>
        </w:tc>
        <w:tc>
          <w:tcPr>
            <w:tcW w:w="1453"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bl>
    <w:p>
      <w:pPr>
        <w:rPr>
          <w:sz w:val="32"/>
        </w:rPr>
      </w:pPr>
    </w:p>
    <w:p>
      <w:pPr>
        <w:pStyle w:val="5"/>
        <w:keepNext w:val="0"/>
        <w:keepLines w:val="0"/>
        <w:spacing w:line="600" w:lineRule="exact"/>
        <w:ind w:firstLine="640" w:firstLineChars="200"/>
        <w:rPr>
          <w:rFonts w:ascii="Times New Roman" w:hAnsi="Times New Roman" w:eastAsia="仿宋_GB2312" w:cs="Times New Roman"/>
          <w:b w:val="0"/>
          <w:sz w:val="32"/>
        </w:rPr>
      </w:pPr>
      <w:r>
        <w:rPr>
          <w:rFonts w:ascii="Times New Roman" w:hAnsi="Times New Roman" w:eastAsia="仿宋_GB2312" w:cs="Times New Roman"/>
          <w:b w:val="0"/>
          <w:sz w:val="32"/>
        </w:rPr>
        <w:t>（2）农田水利综合改革试点和省级小型农田水利建设资金</w:t>
      </w:r>
    </w:p>
    <w:p>
      <w:pPr>
        <w:spacing w:line="600" w:lineRule="exact"/>
        <w:ind w:firstLine="640" w:firstLineChars="200"/>
        <w:rPr>
          <w:rFonts w:eastAsia="仿宋_GB2312"/>
          <w:sz w:val="32"/>
        </w:rPr>
      </w:pPr>
      <w:r>
        <w:rPr>
          <w:rFonts w:eastAsia="仿宋_GB2312"/>
          <w:sz w:val="32"/>
        </w:rPr>
        <w:t>2017年农田水利综合改革试点资金批复安排省级财政资金2590万元。截止2017年12月31日，实际到位专项资金2590万元，到位率为100%。</w:t>
      </w:r>
    </w:p>
    <w:p>
      <w:pPr>
        <w:spacing w:line="600" w:lineRule="exact"/>
        <w:jc w:val="center"/>
        <w:rPr>
          <w:rFonts w:eastAsia="方正小标宋_GBK"/>
          <w:sz w:val="36"/>
        </w:rPr>
      </w:pPr>
      <w:r>
        <w:rPr>
          <w:rFonts w:eastAsia="方正小标宋_GBK"/>
          <w:b/>
          <w:bCs/>
          <w:kern w:val="0"/>
          <w:sz w:val="28"/>
          <w:szCs w:val="24"/>
        </w:rPr>
        <w:t>2017年农田水利综合改革试点资金计划及到位情况表</w:t>
      </w:r>
    </w:p>
    <w:tbl>
      <w:tblPr>
        <w:tblStyle w:val="21"/>
        <w:tblW w:w="9180" w:type="dxa"/>
        <w:tblInd w:w="0" w:type="dxa"/>
        <w:tblLayout w:type="fixed"/>
        <w:tblCellMar>
          <w:top w:w="0" w:type="dxa"/>
          <w:left w:w="108" w:type="dxa"/>
          <w:bottom w:w="0" w:type="dxa"/>
          <w:right w:w="108" w:type="dxa"/>
        </w:tblCellMar>
      </w:tblPr>
      <w:tblGrid>
        <w:gridCol w:w="725"/>
        <w:gridCol w:w="2337"/>
        <w:gridCol w:w="1882"/>
        <w:gridCol w:w="2620"/>
        <w:gridCol w:w="1616"/>
      </w:tblGrid>
      <w:tr>
        <w:tblPrEx>
          <w:tblLayout w:type="fixed"/>
          <w:tblCellMar>
            <w:top w:w="0" w:type="dxa"/>
            <w:left w:w="108" w:type="dxa"/>
            <w:bottom w:w="0" w:type="dxa"/>
            <w:right w:w="108" w:type="dxa"/>
          </w:tblCellMar>
        </w:tblPrEx>
        <w:trPr>
          <w:trHeight w:val="454" w:hRule="exact"/>
          <w:tblHeader/>
        </w:trPr>
        <w:tc>
          <w:tcPr>
            <w:tcW w:w="7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序号</w:t>
            </w:r>
          </w:p>
        </w:tc>
        <w:tc>
          <w:tcPr>
            <w:tcW w:w="23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项目单位</w:t>
            </w:r>
          </w:p>
        </w:tc>
        <w:tc>
          <w:tcPr>
            <w:tcW w:w="188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批复资金（万元）</w:t>
            </w:r>
          </w:p>
        </w:tc>
        <w:tc>
          <w:tcPr>
            <w:tcW w:w="26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实际到位资金（万元）</w:t>
            </w:r>
          </w:p>
        </w:tc>
        <w:tc>
          <w:tcPr>
            <w:tcW w:w="16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到位率</w:t>
            </w:r>
          </w:p>
        </w:tc>
      </w:tr>
      <w:tr>
        <w:tblPrEx>
          <w:tblLayout w:type="fixed"/>
          <w:tblCellMar>
            <w:top w:w="0" w:type="dxa"/>
            <w:left w:w="108" w:type="dxa"/>
            <w:bottom w:w="0" w:type="dxa"/>
            <w:right w:w="108" w:type="dxa"/>
          </w:tblCellMar>
        </w:tblPrEx>
        <w:trPr>
          <w:trHeight w:val="454" w:hRule="exact"/>
        </w:trPr>
        <w:tc>
          <w:tcPr>
            <w:tcW w:w="30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b/>
                <w:bCs/>
                <w:kern w:val="0"/>
                <w:sz w:val="20"/>
                <w:szCs w:val="20"/>
              </w:rPr>
            </w:pPr>
            <w:r>
              <w:rPr>
                <w:rFonts w:eastAsia="宋体"/>
                <w:b/>
                <w:bCs/>
                <w:kern w:val="0"/>
                <w:sz w:val="20"/>
                <w:szCs w:val="20"/>
              </w:rPr>
              <w:t>合  计</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0"/>
                <w:szCs w:val="20"/>
              </w:rPr>
            </w:pPr>
            <w:r>
              <w:rPr>
                <w:rFonts w:eastAsia="等线"/>
                <w:b/>
                <w:bCs/>
                <w:kern w:val="0"/>
                <w:sz w:val="20"/>
                <w:szCs w:val="20"/>
              </w:rPr>
              <w:t>2590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0"/>
                <w:szCs w:val="20"/>
              </w:rPr>
            </w:pPr>
            <w:r>
              <w:rPr>
                <w:rFonts w:eastAsia="等线"/>
                <w:b/>
                <w:bCs/>
                <w:kern w:val="0"/>
                <w:sz w:val="20"/>
                <w:szCs w:val="20"/>
              </w:rPr>
              <w:t>2590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w:t>
            </w:r>
          </w:p>
        </w:tc>
        <w:tc>
          <w:tcPr>
            <w:tcW w:w="2337" w:type="dxa"/>
            <w:tcBorders>
              <w:top w:val="nil"/>
              <w:left w:val="nil"/>
              <w:bottom w:val="single" w:color="auto" w:sz="4" w:space="0"/>
              <w:right w:val="single" w:color="auto" w:sz="4" w:space="0"/>
            </w:tcBorders>
            <w:shd w:val="clear" w:color="auto" w:fill="auto"/>
            <w:vAlign w:val="center"/>
          </w:tcPr>
          <w:p>
            <w:pPr>
              <w:widowControl/>
              <w:ind w:left="273" w:leftChars="91"/>
              <w:jc w:val="center"/>
              <w:rPr>
                <w:rFonts w:eastAsia="宋体"/>
                <w:kern w:val="0"/>
                <w:sz w:val="20"/>
                <w:szCs w:val="20"/>
              </w:rPr>
            </w:pPr>
            <w:r>
              <w:rPr>
                <w:rFonts w:eastAsia="宋体"/>
                <w:kern w:val="0"/>
                <w:sz w:val="20"/>
                <w:szCs w:val="20"/>
              </w:rPr>
              <w:t>长沙县</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w:t>
            </w:r>
          </w:p>
        </w:tc>
        <w:tc>
          <w:tcPr>
            <w:tcW w:w="2337" w:type="dxa"/>
            <w:tcBorders>
              <w:top w:val="nil"/>
              <w:left w:val="nil"/>
              <w:bottom w:val="single" w:color="auto" w:sz="4" w:space="0"/>
              <w:right w:val="single" w:color="auto" w:sz="4" w:space="0"/>
            </w:tcBorders>
            <w:shd w:val="clear" w:color="auto" w:fill="auto"/>
            <w:vAlign w:val="center"/>
          </w:tcPr>
          <w:p>
            <w:pPr>
              <w:widowControl/>
              <w:ind w:left="273" w:leftChars="91"/>
              <w:jc w:val="center"/>
              <w:rPr>
                <w:rFonts w:eastAsia="宋体"/>
                <w:kern w:val="0"/>
                <w:sz w:val="20"/>
                <w:szCs w:val="20"/>
              </w:rPr>
            </w:pPr>
            <w:r>
              <w:rPr>
                <w:rFonts w:eastAsia="宋体"/>
                <w:kern w:val="0"/>
                <w:sz w:val="20"/>
                <w:szCs w:val="20"/>
              </w:rPr>
              <w:t>茶陵县</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w:t>
            </w:r>
          </w:p>
        </w:tc>
        <w:tc>
          <w:tcPr>
            <w:tcW w:w="2337" w:type="dxa"/>
            <w:tcBorders>
              <w:top w:val="nil"/>
              <w:left w:val="nil"/>
              <w:bottom w:val="single" w:color="auto" w:sz="4" w:space="0"/>
              <w:right w:val="single" w:color="auto" w:sz="4" w:space="0"/>
            </w:tcBorders>
            <w:shd w:val="clear" w:color="auto" w:fill="auto"/>
            <w:vAlign w:val="center"/>
          </w:tcPr>
          <w:p>
            <w:pPr>
              <w:widowControl/>
              <w:ind w:left="273" w:leftChars="91"/>
              <w:jc w:val="center"/>
              <w:rPr>
                <w:rFonts w:eastAsia="宋体"/>
                <w:kern w:val="0"/>
                <w:sz w:val="20"/>
                <w:szCs w:val="20"/>
              </w:rPr>
            </w:pPr>
            <w:r>
              <w:rPr>
                <w:rFonts w:eastAsia="宋体"/>
                <w:kern w:val="0"/>
                <w:sz w:val="20"/>
                <w:szCs w:val="20"/>
              </w:rPr>
              <w:t>澧县</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w:t>
            </w:r>
          </w:p>
        </w:tc>
        <w:tc>
          <w:tcPr>
            <w:tcW w:w="2337" w:type="dxa"/>
            <w:tcBorders>
              <w:top w:val="nil"/>
              <w:left w:val="nil"/>
              <w:bottom w:val="single" w:color="auto" w:sz="4" w:space="0"/>
              <w:right w:val="single" w:color="auto" w:sz="4" w:space="0"/>
            </w:tcBorders>
            <w:shd w:val="clear" w:color="auto" w:fill="auto"/>
            <w:vAlign w:val="center"/>
          </w:tcPr>
          <w:p>
            <w:pPr>
              <w:widowControl/>
              <w:ind w:left="273" w:leftChars="91"/>
              <w:jc w:val="center"/>
              <w:rPr>
                <w:rFonts w:eastAsia="宋体"/>
                <w:kern w:val="0"/>
                <w:sz w:val="20"/>
                <w:szCs w:val="20"/>
              </w:rPr>
            </w:pPr>
            <w:r>
              <w:rPr>
                <w:rFonts w:eastAsia="宋体"/>
                <w:kern w:val="0"/>
                <w:sz w:val="20"/>
                <w:szCs w:val="20"/>
              </w:rPr>
              <w:t>南县</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w:t>
            </w:r>
          </w:p>
        </w:tc>
        <w:tc>
          <w:tcPr>
            <w:tcW w:w="2337" w:type="dxa"/>
            <w:tcBorders>
              <w:top w:val="nil"/>
              <w:left w:val="nil"/>
              <w:bottom w:val="single" w:color="auto" w:sz="4" w:space="0"/>
              <w:right w:val="single" w:color="auto" w:sz="4" w:space="0"/>
            </w:tcBorders>
            <w:shd w:val="clear" w:color="auto" w:fill="auto"/>
            <w:vAlign w:val="center"/>
          </w:tcPr>
          <w:p>
            <w:pPr>
              <w:widowControl/>
              <w:ind w:left="273" w:leftChars="91"/>
              <w:jc w:val="center"/>
              <w:rPr>
                <w:rFonts w:eastAsia="宋体"/>
                <w:kern w:val="0"/>
                <w:sz w:val="20"/>
                <w:szCs w:val="20"/>
              </w:rPr>
            </w:pPr>
            <w:r>
              <w:rPr>
                <w:rFonts w:eastAsia="宋体"/>
                <w:kern w:val="0"/>
                <w:sz w:val="20"/>
                <w:szCs w:val="20"/>
              </w:rPr>
              <w:t>涟源市</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w:t>
            </w:r>
          </w:p>
        </w:tc>
        <w:tc>
          <w:tcPr>
            <w:tcW w:w="2337" w:type="dxa"/>
            <w:tcBorders>
              <w:top w:val="nil"/>
              <w:left w:val="nil"/>
              <w:bottom w:val="single" w:color="auto" w:sz="4" w:space="0"/>
              <w:right w:val="single" w:color="auto" w:sz="4" w:space="0"/>
            </w:tcBorders>
            <w:shd w:val="clear" w:color="auto" w:fill="auto"/>
            <w:vAlign w:val="center"/>
          </w:tcPr>
          <w:p>
            <w:pPr>
              <w:widowControl/>
              <w:ind w:left="273" w:leftChars="91"/>
              <w:jc w:val="center"/>
              <w:rPr>
                <w:rFonts w:eastAsia="宋体"/>
                <w:kern w:val="0"/>
                <w:sz w:val="20"/>
                <w:szCs w:val="20"/>
              </w:rPr>
            </w:pPr>
            <w:r>
              <w:rPr>
                <w:rFonts w:eastAsia="宋体"/>
                <w:kern w:val="0"/>
                <w:sz w:val="20"/>
                <w:szCs w:val="20"/>
              </w:rPr>
              <w:t>双峰县</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7</w:t>
            </w:r>
          </w:p>
        </w:tc>
        <w:tc>
          <w:tcPr>
            <w:tcW w:w="2337" w:type="dxa"/>
            <w:tcBorders>
              <w:top w:val="nil"/>
              <w:left w:val="nil"/>
              <w:bottom w:val="single" w:color="auto" w:sz="4" w:space="0"/>
              <w:right w:val="single" w:color="auto" w:sz="4" w:space="0"/>
            </w:tcBorders>
            <w:shd w:val="clear" w:color="auto" w:fill="auto"/>
            <w:vAlign w:val="center"/>
          </w:tcPr>
          <w:p>
            <w:pPr>
              <w:widowControl/>
              <w:ind w:left="273" w:leftChars="91"/>
              <w:jc w:val="center"/>
              <w:rPr>
                <w:rFonts w:eastAsia="宋体"/>
                <w:kern w:val="0"/>
                <w:sz w:val="20"/>
                <w:szCs w:val="20"/>
              </w:rPr>
            </w:pPr>
            <w:r>
              <w:rPr>
                <w:rFonts w:eastAsia="宋体"/>
                <w:kern w:val="0"/>
                <w:sz w:val="20"/>
                <w:szCs w:val="20"/>
              </w:rPr>
              <w:t>麻阳县</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240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240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8</w:t>
            </w:r>
          </w:p>
        </w:tc>
        <w:tc>
          <w:tcPr>
            <w:tcW w:w="2337" w:type="dxa"/>
            <w:tcBorders>
              <w:top w:val="nil"/>
              <w:left w:val="nil"/>
              <w:bottom w:val="single" w:color="auto" w:sz="4" w:space="0"/>
              <w:right w:val="single" w:color="auto" w:sz="4" w:space="0"/>
            </w:tcBorders>
            <w:shd w:val="clear" w:color="auto" w:fill="auto"/>
            <w:vAlign w:val="center"/>
          </w:tcPr>
          <w:p>
            <w:pPr>
              <w:widowControl/>
              <w:ind w:left="273" w:leftChars="91"/>
              <w:jc w:val="center"/>
              <w:rPr>
                <w:rFonts w:eastAsia="宋体"/>
                <w:kern w:val="0"/>
                <w:sz w:val="20"/>
                <w:szCs w:val="20"/>
              </w:rPr>
            </w:pPr>
            <w:r>
              <w:rPr>
                <w:rFonts w:eastAsia="宋体"/>
                <w:kern w:val="0"/>
                <w:sz w:val="20"/>
                <w:szCs w:val="20"/>
              </w:rPr>
              <w:t>凤凰县</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260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260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9</w:t>
            </w:r>
          </w:p>
        </w:tc>
        <w:tc>
          <w:tcPr>
            <w:tcW w:w="2337" w:type="dxa"/>
            <w:tcBorders>
              <w:top w:val="nil"/>
              <w:left w:val="nil"/>
              <w:bottom w:val="single" w:color="auto" w:sz="4" w:space="0"/>
              <w:right w:val="single" w:color="auto" w:sz="4" w:space="0"/>
            </w:tcBorders>
            <w:shd w:val="clear" w:color="auto" w:fill="auto"/>
            <w:vAlign w:val="center"/>
          </w:tcPr>
          <w:p>
            <w:pPr>
              <w:widowControl/>
              <w:ind w:left="273" w:leftChars="91"/>
              <w:jc w:val="center"/>
              <w:rPr>
                <w:rFonts w:eastAsia="宋体"/>
                <w:kern w:val="0"/>
                <w:sz w:val="20"/>
                <w:szCs w:val="20"/>
              </w:rPr>
            </w:pPr>
            <w:r>
              <w:rPr>
                <w:rFonts w:eastAsia="宋体"/>
                <w:kern w:val="0"/>
                <w:sz w:val="20"/>
                <w:szCs w:val="20"/>
              </w:rPr>
              <w:t>省水利厅</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90</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90</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bl>
    <w:p>
      <w:pPr>
        <w:ind w:firstLine="600" w:firstLineChars="200"/>
      </w:pPr>
    </w:p>
    <w:p>
      <w:pPr>
        <w:ind w:firstLine="640" w:firstLineChars="200"/>
        <w:rPr>
          <w:rFonts w:eastAsia="仿宋_GB2312"/>
          <w:sz w:val="32"/>
        </w:rPr>
      </w:pPr>
      <w:r>
        <w:rPr>
          <w:rFonts w:eastAsia="仿宋_GB2312"/>
          <w:sz w:val="32"/>
        </w:rPr>
        <w:t>2017年省级小型农田水利建设资金批复安排省级财政资金3920万元。截至2017年12月31日，实际到位专项资金3920万元，到位率为100%。</w:t>
      </w:r>
    </w:p>
    <w:p>
      <w:pPr>
        <w:jc w:val="center"/>
        <w:rPr>
          <w:rFonts w:eastAsia="方正小标宋_GBK"/>
          <w:sz w:val="36"/>
        </w:rPr>
      </w:pPr>
      <w:r>
        <w:rPr>
          <w:rFonts w:eastAsia="方正小标宋_GBK"/>
          <w:b/>
          <w:bCs/>
          <w:kern w:val="0"/>
          <w:sz w:val="32"/>
          <w:szCs w:val="24"/>
        </w:rPr>
        <w:t>2017年省级小型农田水利建设资金计划及到位情况表</w:t>
      </w:r>
    </w:p>
    <w:tbl>
      <w:tblPr>
        <w:tblStyle w:val="21"/>
        <w:tblW w:w="946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496"/>
        <w:gridCol w:w="1750"/>
        <w:gridCol w:w="221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trPr>
        <w:tc>
          <w:tcPr>
            <w:tcW w:w="728" w:type="dxa"/>
            <w:shd w:val="clear" w:color="auto" w:fill="auto"/>
            <w:vAlign w:val="center"/>
          </w:tcPr>
          <w:p>
            <w:pPr>
              <w:widowControl/>
              <w:jc w:val="center"/>
              <w:rPr>
                <w:rFonts w:eastAsia="黑体"/>
                <w:b/>
                <w:bCs/>
                <w:kern w:val="0"/>
                <w:sz w:val="20"/>
                <w:szCs w:val="20"/>
              </w:rPr>
            </w:pPr>
            <w:r>
              <w:rPr>
                <w:rFonts w:eastAsia="黑体"/>
                <w:b/>
                <w:bCs/>
                <w:kern w:val="0"/>
                <w:sz w:val="20"/>
                <w:szCs w:val="20"/>
              </w:rPr>
              <w:t>序号</w:t>
            </w:r>
          </w:p>
        </w:tc>
        <w:tc>
          <w:tcPr>
            <w:tcW w:w="3496" w:type="dxa"/>
            <w:shd w:val="clear" w:color="auto" w:fill="auto"/>
            <w:vAlign w:val="center"/>
          </w:tcPr>
          <w:p>
            <w:pPr>
              <w:widowControl/>
              <w:jc w:val="center"/>
              <w:rPr>
                <w:rFonts w:eastAsia="黑体"/>
                <w:b/>
                <w:bCs/>
                <w:kern w:val="0"/>
                <w:sz w:val="20"/>
                <w:szCs w:val="20"/>
              </w:rPr>
            </w:pPr>
            <w:r>
              <w:rPr>
                <w:rFonts w:eastAsia="黑体"/>
                <w:b/>
                <w:bCs/>
                <w:kern w:val="0"/>
                <w:sz w:val="20"/>
                <w:szCs w:val="20"/>
              </w:rPr>
              <w:t>项目单位</w:t>
            </w:r>
          </w:p>
        </w:tc>
        <w:tc>
          <w:tcPr>
            <w:tcW w:w="1750" w:type="dxa"/>
            <w:shd w:val="clear" w:color="auto" w:fill="auto"/>
            <w:vAlign w:val="center"/>
          </w:tcPr>
          <w:p>
            <w:pPr>
              <w:widowControl/>
              <w:jc w:val="center"/>
              <w:rPr>
                <w:rFonts w:eastAsia="黑体"/>
                <w:b/>
                <w:bCs/>
                <w:kern w:val="0"/>
                <w:sz w:val="20"/>
                <w:szCs w:val="20"/>
              </w:rPr>
            </w:pPr>
            <w:r>
              <w:rPr>
                <w:rFonts w:eastAsia="黑体"/>
                <w:b/>
                <w:bCs/>
                <w:kern w:val="0"/>
                <w:sz w:val="20"/>
                <w:szCs w:val="20"/>
              </w:rPr>
              <w:t>批复资金（万元）</w:t>
            </w:r>
          </w:p>
        </w:tc>
        <w:tc>
          <w:tcPr>
            <w:tcW w:w="2219" w:type="dxa"/>
            <w:shd w:val="clear" w:color="auto" w:fill="auto"/>
            <w:vAlign w:val="center"/>
          </w:tcPr>
          <w:p>
            <w:pPr>
              <w:widowControl/>
              <w:jc w:val="center"/>
              <w:rPr>
                <w:rFonts w:eastAsia="黑体"/>
                <w:b/>
                <w:bCs/>
                <w:kern w:val="0"/>
                <w:sz w:val="20"/>
                <w:szCs w:val="20"/>
              </w:rPr>
            </w:pPr>
            <w:r>
              <w:rPr>
                <w:rFonts w:eastAsia="黑体"/>
                <w:b/>
                <w:bCs/>
                <w:kern w:val="0"/>
                <w:sz w:val="20"/>
                <w:szCs w:val="20"/>
              </w:rPr>
              <w:t>实际到位资金（万元）</w:t>
            </w:r>
          </w:p>
        </w:tc>
        <w:tc>
          <w:tcPr>
            <w:tcW w:w="1276" w:type="dxa"/>
            <w:shd w:val="clear" w:color="auto" w:fill="auto"/>
            <w:vAlign w:val="center"/>
          </w:tcPr>
          <w:p>
            <w:pPr>
              <w:widowControl/>
              <w:jc w:val="center"/>
              <w:rPr>
                <w:rFonts w:eastAsia="黑体"/>
                <w:b/>
                <w:bCs/>
                <w:kern w:val="0"/>
                <w:sz w:val="20"/>
                <w:szCs w:val="20"/>
              </w:rPr>
            </w:pPr>
            <w:r>
              <w:rPr>
                <w:rFonts w:eastAsia="黑体"/>
                <w:b/>
                <w:bCs/>
                <w:kern w:val="0"/>
                <w:sz w:val="20"/>
                <w:szCs w:val="20"/>
              </w:rPr>
              <w:t>到位率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224" w:type="dxa"/>
            <w:gridSpan w:val="2"/>
            <w:shd w:val="clear" w:color="auto" w:fill="auto"/>
            <w:vAlign w:val="center"/>
          </w:tcPr>
          <w:p>
            <w:pPr>
              <w:widowControl/>
              <w:ind w:left="567" w:leftChars="189"/>
              <w:jc w:val="center"/>
              <w:rPr>
                <w:rFonts w:eastAsia="宋体"/>
                <w:b/>
                <w:bCs/>
                <w:kern w:val="0"/>
                <w:sz w:val="20"/>
                <w:szCs w:val="20"/>
              </w:rPr>
            </w:pPr>
            <w:r>
              <w:rPr>
                <w:rFonts w:eastAsia="宋体"/>
                <w:b/>
                <w:bCs/>
                <w:kern w:val="0"/>
                <w:sz w:val="20"/>
                <w:szCs w:val="20"/>
              </w:rPr>
              <w:t>合  计</w:t>
            </w:r>
          </w:p>
        </w:tc>
        <w:tc>
          <w:tcPr>
            <w:tcW w:w="1750" w:type="dxa"/>
            <w:shd w:val="clear" w:color="auto" w:fill="auto"/>
            <w:vAlign w:val="center"/>
          </w:tcPr>
          <w:p>
            <w:pPr>
              <w:widowControl/>
              <w:jc w:val="center"/>
              <w:rPr>
                <w:rFonts w:eastAsia="等线"/>
                <w:b/>
                <w:bCs/>
                <w:kern w:val="0"/>
                <w:sz w:val="20"/>
                <w:szCs w:val="20"/>
              </w:rPr>
            </w:pPr>
            <w:r>
              <w:rPr>
                <w:rFonts w:eastAsia="等线"/>
                <w:b/>
                <w:bCs/>
                <w:kern w:val="0"/>
                <w:sz w:val="20"/>
                <w:szCs w:val="20"/>
              </w:rPr>
              <w:t>3920</w:t>
            </w:r>
          </w:p>
        </w:tc>
        <w:tc>
          <w:tcPr>
            <w:tcW w:w="2219" w:type="dxa"/>
            <w:shd w:val="clear" w:color="auto" w:fill="auto"/>
            <w:vAlign w:val="center"/>
          </w:tcPr>
          <w:p>
            <w:pPr>
              <w:widowControl/>
              <w:jc w:val="center"/>
              <w:rPr>
                <w:rFonts w:eastAsia="等线"/>
                <w:b/>
                <w:bCs/>
                <w:kern w:val="0"/>
                <w:sz w:val="20"/>
                <w:szCs w:val="20"/>
              </w:rPr>
            </w:pPr>
            <w:r>
              <w:rPr>
                <w:rFonts w:eastAsia="等线"/>
                <w:b/>
                <w:bCs/>
                <w:kern w:val="0"/>
                <w:sz w:val="20"/>
                <w:szCs w:val="20"/>
              </w:rPr>
              <w:t>3920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望城区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长沙县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宁乡市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浏阳市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株洲市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株洲县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攸县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茶陵县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炎陵县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醴陵市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11</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雨湖区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湘潭县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湘乡市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韶山市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衡阳市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衡阳县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衡南县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90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90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18</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横山县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衡东县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祁东县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65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65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21</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耒阳市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常宁市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双清区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邵东县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新邵县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邵阳县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65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65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隆回县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70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70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28</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洞口县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29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遂宁县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新宁县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31</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城步县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武冈市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岳阳市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君山区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岳阳县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华容县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湘阴县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38</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平江县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39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汨罗市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tcBorders>
              <w:bottom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3496" w:type="dxa"/>
            <w:tcBorders>
              <w:bottom w:val="single" w:color="auto" w:sz="4" w:space="0"/>
            </w:tcBorders>
            <w:shd w:val="clear" w:color="auto" w:fill="auto"/>
            <w:vAlign w:val="center"/>
          </w:tcPr>
          <w:p>
            <w:pPr>
              <w:widowControl/>
              <w:ind w:left="132" w:leftChars="44"/>
              <w:jc w:val="center"/>
              <w:rPr>
                <w:rFonts w:eastAsia="宋体"/>
                <w:kern w:val="0"/>
                <w:sz w:val="20"/>
                <w:szCs w:val="20"/>
              </w:rPr>
            </w:pPr>
            <w:r>
              <w:rPr>
                <w:rFonts w:eastAsia="宋体"/>
                <w:kern w:val="0"/>
                <w:sz w:val="20"/>
                <w:szCs w:val="20"/>
              </w:rPr>
              <w:t>临湘市</w:t>
            </w:r>
          </w:p>
        </w:tc>
        <w:tc>
          <w:tcPr>
            <w:tcW w:w="1750" w:type="dxa"/>
            <w:tcBorders>
              <w:bottom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tcBorders>
              <w:bottom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tcBorders>
              <w:bottom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41</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鼎城区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安乡县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汉寿县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澧县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临澧县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桃源县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石门县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48</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津市市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49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永定区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武陵源区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51</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慈利县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桑植县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资阳区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赫山区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南县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桃江县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安化县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80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80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58</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沅江市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59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桂阳县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宜章县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61</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永兴县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嘉禾县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临武县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汝城县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桂东县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安仁县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资兴市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tcBorders>
              <w:bottom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68</w:t>
            </w:r>
          </w:p>
        </w:tc>
        <w:tc>
          <w:tcPr>
            <w:tcW w:w="3496" w:type="dxa"/>
            <w:tcBorders>
              <w:bottom w:val="single" w:color="auto" w:sz="4" w:space="0"/>
            </w:tcBorders>
            <w:shd w:val="clear" w:color="auto" w:fill="auto"/>
            <w:vAlign w:val="center"/>
          </w:tcPr>
          <w:p>
            <w:pPr>
              <w:widowControl/>
              <w:ind w:left="132" w:leftChars="44"/>
              <w:jc w:val="center"/>
              <w:rPr>
                <w:rFonts w:eastAsia="宋体"/>
                <w:kern w:val="0"/>
                <w:sz w:val="20"/>
                <w:szCs w:val="20"/>
              </w:rPr>
            </w:pPr>
            <w:r>
              <w:rPr>
                <w:rFonts w:eastAsia="宋体"/>
                <w:kern w:val="0"/>
                <w:sz w:val="20"/>
                <w:szCs w:val="20"/>
              </w:rPr>
              <w:t>祁阳县</w:t>
            </w:r>
          </w:p>
        </w:tc>
        <w:tc>
          <w:tcPr>
            <w:tcW w:w="1750" w:type="dxa"/>
            <w:tcBorders>
              <w:bottom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tcBorders>
              <w:bottom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tcBorders>
              <w:bottom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69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东安县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双牌县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71</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道县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江永县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宁远县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蓝山县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新田县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江华县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鹤城区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78</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中方县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79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沅陵县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45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45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辰溪县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81</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溆浦县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60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会同县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麻阳县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新晃县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芷江县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靖州县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通道县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88</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洪江区</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89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洪江市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双峰县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85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85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新化县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70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70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92</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涟源市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75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75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93</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吉首市</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94</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泸溪县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95</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凤凰县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96</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花垣县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97</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保靖县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30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98</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古丈县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99</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永顺县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85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85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100</w:t>
            </w:r>
          </w:p>
        </w:tc>
        <w:tc>
          <w:tcPr>
            <w:tcW w:w="3496" w:type="dxa"/>
            <w:shd w:val="clear" w:color="auto" w:fill="auto"/>
            <w:vAlign w:val="center"/>
          </w:tcPr>
          <w:p>
            <w:pPr>
              <w:widowControl/>
              <w:ind w:left="132" w:leftChars="44"/>
              <w:jc w:val="center"/>
              <w:rPr>
                <w:rFonts w:eastAsia="宋体"/>
                <w:kern w:val="0"/>
                <w:sz w:val="20"/>
                <w:szCs w:val="20"/>
              </w:rPr>
            </w:pPr>
            <w:r>
              <w:rPr>
                <w:rFonts w:eastAsia="宋体"/>
                <w:kern w:val="0"/>
                <w:sz w:val="20"/>
                <w:szCs w:val="20"/>
              </w:rPr>
              <w:t>龙山县</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101</w:t>
            </w:r>
          </w:p>
        </w:tc>
        <w:tc>
          <w:tcPr>
            <w:tcW w:w="3496" w:type="dxa"/>
            <w:shd w:val="clear" w:color="auto" w:fill="auto"/>
            <w:vAlign w:val="center"/>
          </w:tcPr>
          <w:p>
            <w:pPr>
              <w:widowControl/>
              <w:jc w:val="center"/>
              <w:rPr>
                <w:rFonts w:eastAsia="宋体"/>
                <w:kern w:val="0"/>
                <w:sz w:val="20"/>
                <w:szCs w:val="20"/>
              </w:rPr>
            </w:pPr>
            <w:r>
              <w:rPr>
                <w:rFonts w:eastAsia="宋体"/>
                <w:kern w:val="0"/>
                <w:sz w:val="20"/>
                <w:szCs w:val="20"/>
              </w:rPr>
              <w:t>湖南省欧阳海灌区水利水电工程管理局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102</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湖南省双排水库管理局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50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103</w:t>
            </w:r>
          </w:p>
        </w:tc>
        <w:tc>
          <w:tcPr>
            <w:tcW w:w="3496" w:type="dxa"/>
            <w:shd w:val="clear" w:color="auto" w:fill="auto"/>
            <w:vAlign w:val="center"/>
          </w:tcPr>
          <w:p>
            <w:pPr>
              <w:widowControl/>
              <w:jc w:val="center"/>
              <w:rPr>
                <w:rFonts w:eastAsia="宋体"/>
                <w:kern w:val="0"/>
                <w:sz w:val="20"/>
                <w:szCs w:val="20"/>
              </w:rPr>
            </w:pPr>
            <w:r>
              <w:rPr>
                <w:rFonts w:eastAsia="宋体"/>
                <w:kern w:val="0"/>
                <w:sz w:val="20"/>
                <w:szCs w:val="20"/>
              </w:rPr>
              <w:t>湖南省水利水电勘测设计研究总院</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200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200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104</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长沙水文水资源勘测局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105</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株洲水文水资源勘测局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106</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湘潭水文水资源勘测局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10</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107</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衡阳水文水资源勘测局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108</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邵阳水文水资源勘测局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109</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岳阳水文水资源勘测局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110</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常德水文水资源勘测局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111</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益阳水文水资源勘测局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112</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娄底水文水资源勘测局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113</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永州水文水资源勘测局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114</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怀化水文水资源勘测局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115</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郴州水文水资源勘测局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116</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张家界水文水资源勘测局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728" w:type="dxa"/>
            <w:shd w:val="clear" w:color="auto" w:fill="auto"/>
            <w:vAlign w:val="center"/>
          </w:tcPr>
          <w:p>
            <w:pPr>
              <w:widowControl/>
              <w:jc w:val="center"/>
              <w:rPr>
                <w:rFonts w:eastAsia="等线"/>
                <w:kern w:val="0"/>
                <w:sz w:val="20"/>
                <w:szCs w:val="20"/>
              </w:rPr>
            </w:pPr>
            <w:r>
              <w:rPr>
                <w:rFonts w:eastAsia="等线"/>
                <w:kern w:val="0"/>
                <w:sz w:val="20"/>
                <w:szCs w:val="20"/>
              </w:rPr>
              <w:t>117</w:t>
            </w:r>
          </w:p>
        </w:tc>
        <w:tc>
          <w:tcPr>
            <w:tcW w:w="3496" w:type="dxa"/>
            <w:shd w:val="clear" w:color="auto" w:fill="auto"/>
            <w:vAlign w:val="center"/>
          </w:tcPr>
          <w:p>
            <w:pPr>
              <w:widowControl/>
              <w:ind w:left="-9" w:leftChars="-3"/>
              <w:jc w:val="center"/>
              <w:rPr>
                <w:rFonts w:eastAsia="宋体"/>
                <w:kern w:val="0"/>
                <w:sz w:val="20"/>
                <w:szCs w:val="20"/>
              </w:rPr>
            </w:pPr>
            <w:r>
              <w:rPr>
                <w:rFonts w:eastAsia="宋体"/>
                <w:kern w:val="0"/>
                <w:sz w:val="20"/>
                <w:szCs w:val="20"/>
              </w:rPr>
              <w:t>湘西水文水资源勘测局</w:t>
            </w:r>
          </w:p>
        </w:tc>
        <w:tc>
          <w:tcPr>
            <w:tcW w:w="1750"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2219" w:type="dxa"/>
            <w:shd w:val="clear" w:color="auto" w:fill="auto"/>
            <w:vAlign w:val="center"/>
          </w:tcPr>
          <w:p>
            <w:pPr>
              <w:widowControl/>
              <w:jc w:val="center"/>
              <w:rPr>
                <w:rFonts w:eastAsia="等线"/>
                <w:kern w:val="0"/>
                <w:sz w:val="20"/>
                <w:szCs w:val="20"/>
              </w:rPr>
            </w:pPr>
            <w:r>
              <w:rPr>
                <w:rFonts w:eastAsia="等线"/>
                <w:kern w:val="0"/>
                <w:sz w:val="20"/>
                <w:szCs w:val="20"/>
              </w:rPr>
              <w:t>15</w:t>
            </w:r>
          </w:p>
        </w:tc>
        <w:tc>
          <w:tcPr>
            <w:tcW w:w="1276" w:type="dxa"/>
            <w:shd w:val="clear" w:color="auto" w:fill="auto"/>
            <w:vAlign w:val="center"/>
          </w:tcPr>
          <w:p>
            <w:pPr>
              <w:widowControl/>
              <w:jc w:val="center"/>
              <w:rPr>
                <w:rFonts w:eastAsia="等线"/>
                <w:kern w:val="0"/>
                <w:sz w:val="20"/>
                <w:szCs w:val="20"/>
              </w:rPr>
            </w:pPr>
            <w:r>
              <w:rPr>
                <w:rFonts w:eastAsia="等线"/>
                <w:kern w:val="0"/>
                <w:sz w:val="20"/>
                <w:szCs w:val="20"/>
              </w:rPr>
              <w:t>100%</w:t>
            </w:r>
          </w:p>
        </w:tc>
      </w:tr>
    </w:tbl>
    <w:p/>
    <w:p>
      <w:pPr>
        <w:pStyle w:val="5"/>
        <w:keepNext w:val="0"/>
        <w:keepLines w:val="0"/>
        <w:ind w:firstLine="643" w:firstLineChars="200"/>
        <w:rPr>
          <w:rFonts w:ascii="Times New Roman" w:hAnsi="Times New Roman" w:eastAsia="仿宋_GB2312" w:cs="Times New Roman"/>
          <w:sz w:val="32"/>
        </w:rPr>
      </w:pPr>
      <w:r>
        <w:rPr>
          <w:rFonts w:ascii="Times New Roman" w:hAnsi="Times New Roman" w:eastAsia="仿宋_GB2312" w:cs="Times New Roman"/>
          <w:sz w:val="32"/>
        </w:rPr>
        <w:t>（3）农业水价综合改革资金</w:t>
      </w:r>
    </w:p>
    <w:p>
      <w:pPr>
        <w:ind w:firstLine="640" w:firstLineChars="200"/>
        <w:rPr>
          <w:rFonts w:eastAsia="仿宋_GB2312"/>
          <w:sz w:val="32"/>
        </w:rPr>
      </w:pPr>
      <w:r>
        <w:rPr>
          <w:rFonts w:eastAsia="仿宋_GB2312"/>
          <w:sz w:val="32"/>
        </w:rPr>
        <w:t>2017年农业水价综合改革资金批复安排省级财政资金4000万元。截至2017年12月31日，实际到位专项资金4000万元，到位率为100%。</w:t>
      </w:r>
    </w:p>
    <w:p>
      <w:pPr>
        <w:ind w:firstLine="640" w:firstLineChars="200"/>
        <w:rPr>
          <w:sz w:val="32"/>
        </w:rPr>
      </w:pPr>
    </w:p>
    <w:p>
      <w:pPr>
        <w:widowControl/>
        <w:jc w:val="center"/>
        <w:rPr>
          <w:rFonts w:eastAsia="方正小标宋_GBK"/>
          <w:b/>
          <w:bCs/>
          <w:kern w:val="0"/>
          <w:sz w:val="32"/>
          <w:szCs w:val="24"/>
        </w:rPr>
      </w:pPr>
      <w:r>
        <w:rPr>
          <w:rFonts w:eastAsia="方正小标宋_GBK"/>
          <w:b/>
          <w:bCs/>
          <w:kern w:val="0"/>
          <w:sz w:val="32"/>
          <w:szCs w:val="24"/>
        </w:rPr>
        <w:t>2017年农业水价综合改革资金计划及到位情况表</w:t>
      </w:r>
    </w:p>
    <w:tbl>
      <w:tblPr>
        <w:tblStyle w:val="21"/>
        <w:tblW w:w="9185" w:type="dxa"/>
        <w:tblInd w:w="-5" w:type="dxa"/>
        <w:tblLayout w:type="fixed"/>
        <w:tblCellMar>
          <w:top w:w="0" w:type="dxa"/>
          <w:left w:w="108" w:type="dxa"/>
          <w:bottom w:w="0" w:type="dxa"/>
          <w:right w:w="108" w:type="dxa"/>
        </w:tblCellMar>
      </w:tblPr>
      <w:tblGrid>
        <w:gridCol w:w="729"/>
        <w:gridCol w:w="2375"/>
        <w:gridCol w:w="1993"/>
        <w:gridCol w:w="2549"/>
        <w:gridCol w:w="1539"/>
      </w:tblGrid>
      <w:tr>
        <w:tblPrEx>
          <w:tblLayout w:type="fixed"/>
          <w:tblCellMar>
            <w:top w:w="0" w:type="dxa"/>
            <w:left w:w="108" w:type="dxa"/>
            <w:bottom w:w="0" w:type="dxa"/>
            <w:right w:w="108" w:type="dxa"/>
          </w:tblCellMar>
        </w:tblPrEx>
        <w:trPr>
          <w:trHeight w:val="454" w:hRule="exact"/>
          <w:tblHeader/>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序号</w:t>
            </w:r>
          </w:p>
        </w:tc>
        <w:tc>
          <w:tcPr>
            <w:tcW w:w="23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项目单位</w:t>
            </w:r>
          </w:p>
        </w:tc>
        <w:tc>
          <w:tcPr>
            <w:tcW w:w="19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批复资金（万元）</w:t>
            </w:r>
          </w:p>
        </w:tc>
        <w:tc>
          <w:tcPr>
            <w:tcW w:w="25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实际到位资金（万元）</w:t>
            </w:r>
          </w:p>
        </w:tc>
        <w:tc>
          <w:tcPr>
            <w:tcW w:w="153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到位率</w:t>
            </w:r>
          </w:p>
        </w:tc>
      </w:tr>
      <w:tr>
        <w:tblPrEx>
          <w:tblLayout w:type="fixed"/>
          <w:tblCellMar>
            <w:top w:w="0" w:type="dxa"/>
            <w:left w:w="108" w:type="dxa"/>
            <w:bottom w:w="0" w:type="dxa"/>
            <w:right w:w="108" w:type="dxa"/>
          </w:tblCellMar>
        </w:tblPrEx>
        <w:trPr>
          <w:trHeight w:val="454" w:hRule="exact"/>
        </w:trPr>
        <w:tc>
          <w:tcPr>
            <w:tcW w:w="31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合  计</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宁乡市（黄材灌区）</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2</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攸县</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3</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茶陵县</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岳阳市（铁山灌区）</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5</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澧县</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6</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绥宁县</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7</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安仁县</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8</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安化县</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9</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涟源市</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r>
        <w:tblPrEx>
          <w:tblLayout w:type="fixed"/>
          <w:tblCellMar>
            <w:top w:w="0" w:type="dxa"/>
            <w:left w:w="108" w:type="dxa"/>
            <w:bottom w:w="0" w:type="dxa"/>
            <w:right w:w="108" w:type="dxa"/>
          </w:tblCellMar>
        </w:tblPrEx>
        <w:trPr>
          <w:trHeight w:val="454" w:hRule="exact"/>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w:t>
            </w:r>
          </w:p>
        </w:tc>
        <w:tc>
          <w:tcPr>
            <w:tcW w:w="2375"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鹤城区</w:t>
            </w:r>
          </w:p>
        </w:tc>
        <w:tc>
          <w:tcPr>
            <w:tcW w:w="1993"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254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400</w:t>
            </w:r>
          </w:p>
        </w:tc>
        <w:tc>
          <w:tcPr>
            <w:tcW w:w="1539" w:type="dxa"/>
            <w:tcBorders>
              <w:top w:val="nil"/>
              <w:left w:val="nil"/>
              <w:bottom w:val="single" w:color="auto" w:sz="4" w:space="0"/>
              <w:right w:val="single" w:color="auto" w:sz="4" w:space="0"/>
            </w:tcBorders>
            <w:shd w:val="clear" w:color="auto" w:fill="auto"/>
            <w:vAlign w:val="center"/>
          </w:tcPr>
          <w:p>
            <w:pPr>
              <w:widowControl/>
              <w:jc w:val="center"/>
              <w:rPr>
                <w:rFonts w:eastAsia="宋体"/>
                <w:kern w:val="0"/>
                <w:sz w:val="20"/>
                <w:szCs w:val="20"/>
              </w:rPr>
            </w:pPr>
            <w:r>
              <w:rPr>
                <w:rFonts w:eastAsia="宋体"/>
                <w:kern w:val="0"/>
                <w:sz w:val="20"/>
                <w:szCs w:val="20"/>
              </w:rPr>
              <w:t>100%</w:t>
            </w:r>
          </w:p>
        </w:tc>
      </w:tr>
    </w:tbl>
    <w:p>
      <w:pPr>
        <w:pStyle w:val="5"/>
        <w:keepNext w:val="0"/>
        <w:keepLines w:val="0"/>
        <w:spacing w:line="600" w:lineRule="exact"/>
        <w:ind w:firstLine="643" w:firstLineChars="200"/>
        <w:rPr>
          <w:rFonts w:ascii="Times New Roman" w:hAnsi="Times New Roman" w:eastAsia="仿宋_GB2312" w:cs="Times New Roman"/>
          <w:sz w:val="32"/>
        </w:rPr>
      </w:pPr>
      <w:r>
        <w:rPr>
          <w:rFonts w:ascii="Times New Roman" w:hAnsi="Times New Roman" w:eastAsia="仿宋_GB2312" w:cs="Times New Roman"/>
          <w:sz w:val="32"/>
        </w:rPr>
        <w:t>（4）</w:t>
      </w:r>
      <w:bookmarkStart w:id="17" w:name="_Hlk510623996"/>
      <w:r>
        <w:rPr>
          <w:rFonts w:ascii="Times New Roman" w:hAnsi="Times New Roman" w:eastAsia="仿宋_GB2312" w:cs="Times New Roman"/>
          <w:sz w:val="32"/>
        </w:rPr>
        <w:t>莽山水库工程省级配套等省级水利资金</w:t>
      </w:r>
      <w:bookmarkEnd w:id="17"/>
    </w:p>
    <w:p>
      <w:pPr>
        <w:spacing w:line="600" w:lineRule="exact"/>
        <w:ind w:firstLine="640" w:firstLineChars="200"/>
        <w:rPr>
          <w:rFonts w:eastAsia="仿宋_GB2312"/>
          <w:sz w:val="32"/>
        </w:rPr>
      </w:pPr>
      <w:r>
        <w:rPr>
          <w:rFonts w:eastAsia="仿宋_GB2312"/>
          <w:sz w:val="32"/>
        </w:rPr>
        <w:t>2017年莽山水库工程省级配套等省级水利资金批复安排省级财政资金45500万元。截至2017年12月31日，实际到位专项资金45500万元，到位率为100%。</w:t>
      </w:r>
    </w:p>
    <w:p>
      <w:pPr>
        <w:widowControl/>
        <w:jc w:val="center"/>
        <w:rPr>
          <w:rFonts w:eastAsia="方正小标宋_GBK"/>
          <w:b/>
          <w:bCs/>
          <w:kern w:val="0"/>
          <w:sz w:val="28"/>
          <w:szCs w:val="24"/>
        </w:rPr>
      </w:pPr>
      <w:r>
        <w:rPr>
          <w:rFonts w:eastAsia="方正小标宋_GBK"/>
          <w:b/>
          <w:bCs/>
          <w:kern w:val="0"/>
          <w:sz w:val="28"/>
          <w:szCs w:val="24"/>
        </w:rPr>
        <w:t>2017年莽山水库工程省级配套等省级水利资金计划及到位情况表</w:t>
      </w:r>
    </w:p>
    <w:tbl>
      <w:tblPr>
        <w:tblStyle w:val="21"/>
        <w:tblW w:w="9498" w:type="dxa"/>
        <w:jc w:val="center"/>
        <w:tblInd w:w="-318" w:type="dxa"/>
        <w:tblLayout w:type="fixed"/>
        <w:tblCellMar>
          <w:top w:w="0" w:type="dxa"/>
          <w:left w:w="108" w:type="dxa"/>
          <w:bottom w:w="0" w:type="dxa"/>
          <w:right w:w="108" w:type="dxa"/>
        </w:tblCellMar>
      </w:tblPr>
      <w:tblGrid>
        <w:gridCol w:w="747"/>
        <w:gridCol w:w="1311"/>
        <w:gridCol w:w="3024"/>
        <w:gridCol w:w="1491"/>
        <w:gridCol w:w="1508"/>
        <w:gridCol w:w="1417"/>
      </w:tblGrid>
      <w:tr>
        <w:tblPrEx>
          <w:tblLayout w:type="fixed"/>
          <w:tblCellMar>
            <w:top w:w="0" w:type="dxa"/>
            <w:left w:w="108" w:type="dxa"/>
            <w:bottom w:w="0" w:type="dxa"/>
            <w:right w:w="108" w:type="dxa"/>
          </w:tblCellMar>
        </w:tblPrEx>
        <w:trPr>
          <w:trHeight w:val="383" w:hRule="atLeast"/>
          <w:tblHeader/>
          <w:jc w:val="center"/>
        </w:trPr>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序号</w:t>
            </w:r>
          </w:p>
        </w:tc>
        <w:tc>
          <w:tcPr>
            <w:tcW w:w="13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县市区</w:t>
            </w:r>
          </w:p>
        </w:tc>
        <w:tc>
          <w:tcPr>
            <w:tcW w:w="302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项目</w:t>
            </w:r>
          </w:p>
        </w:tc>
        <w:tc>
          <w:tcPr>
            <w:tcW w:w="14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批复资金</w:t>
            </w:r>
          </w:p>
          <w:p>
            <w:pPr>
              <w:widowControl/>
              <w:jc w:val="center"/>
              <w:rPr>
                <w:rFonts w:eastAsia="黑体"/>
                <w:b/>
                <w:bCs/>
                <w:kern w:val="0"/>
                <w:sz w:val="20"/>
                <w:szCs w:val="20"/>
              </w:rPr>
            </w:pPr>
            <w:r>
              <w:rPr>
                <w:rFonts w:eastAsia="黑体"/>
                <w:b/>
                <w:bCs/>
                <w:kern w:val="0"/>
                <w:sz w:val="20"/>
                <w:szCs w:val="20"/>
              </w:rPr>
              <w:t>（万元）</w:t>
            </w:r>
          </w:p>
        </w:tc>
        <w:tc>
          <w:tcPr>
            <w:tcW w:w="15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实际到位资金（万元）</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到位率</w:t>
            </w:r>
          </w:p>
        </w:tc>
      </w:tr>
      <w:tr>
        <w:tblPrEx>
          <w:tblLayout w:type="fixed"/>
          <w:tblCellMar>
            <w:top w:w="0" w:type="dxa"/>
            <w:left w:w="108" w:type="dxa"/>
            <w:bottom w:w="0" w:type="dxa"/>
            <w:right w:w="108" w:type="dxa"/>
          </w:tblCellMar>
        </w:tblPrEx>
        <w:trPr>
          <w:trHeight w:val="454" w:hRule="exact"/>
          <w:jc w:val="center"/>
        </w:trPr>
        <w:tc>
          <w:tcPr>
            <w:tcW w:w="50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b/>
                <w:bCs/>
                <w:kern w:val="0"/>
                <w:sz w:val="20"/>
                <w:szCs w:val="20"/>
              </w:rPr>
            </w:pPr>
            <w:r>
              <w:rPr>
                <w:rFonts w:eastAsia="宋体"/>
                <w:b/>
                <w:bCs/>
                <w:kern w:val="0"/>
                <w:sz w:val="20"/>
                <w:szCs w:val="20"/>
              </w:rPr>
              <w:t>合  计</w:t>
            </w:r>
          </w:p>
        </w:tc>
        <w:tc>
          <w:tcPr>
            <w:tcW w:w="1491"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0"/>
                <w:szCs w:val="20"/>
              </w:rPr>
            </w:pPr>
            <w:r>
              <w:rPr>
                <w:rFonts w:eastAsia="等线"/>
                <w:b/>
                <w:bCs/>
                <w:kern w:val="0"/>
                <w:sz w:val="20"/>
                <w:szCs w:val="20"/>
              </w:rPr>
              <w:t>45500</w:t>
            </w:r>
          </w:p>
        </w:tc>
        <w:tc>
          <w:tcPr>
            <w:tcW w:w="1508"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0"/>
                <w:szCs w:val="20"/>
              </w:rPr>
            </w:pPr>
            <w:r>
              <w:rPr>
                <w:rFonts w:eastAsia="等线"/>
                <w:b/>
                <w:bCs/>
                <w:kern w:val="0"/>
                <w:sz w:val="20"/>
                <w:szCs w:val="20"/>
              </w:rPr>
              <w:t>45500</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eastAsia="等线"/>
                <w:b/>
                <w:kern w:val="0"/>
                <w:sz w:val="20"/>
                <w:szCs w:val="20"/>
              </w:rPr>
            </w:pPr>
            <w:r>
              <w:rPr>
                <w:rFonts w:eastAsia="等线"/>
                <w:b/>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w:t>
            </w:r>
          </w:p>
        </w:tc>
        <w:tc>
          <w:tcPr>
            <w:tcW w:w="1311"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宜章县</w:t>
            </w:r>
          </w:p>
        </w:tc>
        <w:tc>
          <w:tcPr>
            <w:tcW w:w="3024"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莽山水库工程</w:t>
            </w:r>
          </w:p>
        </w:tc>
        <w:tc>
          <w:tcPr>
            <w:tcW w:w="1491"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10000</w:t>
            </w:r>
          </w:p>
        </w:tc>
        <w:tc>
          <w:tcPr>
            <w:tcW w:w="150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10000</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w:t>
            </w:r>
          </w:p>
        </w:tc>
        <w:tc>
          <w:tcPr>
            <w:tcW w:w="1311"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蓝山县</w:t>
            </w:r>
          </w:p>
        </w:tc>
        <w:tc>
          <w:tcPr>
            <w:tcW w:w="3024"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毛俊水库工程</w:t>
            </w:r>
          </w:p>
        </w:tc>
        <w:tc>
          <w:tcPr>
            <w:tcW w:w="1491"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8000</w:t>
            </w:r>
          </w:p>
        </w:tc>
        <w:tc>
          <w:tcPr>
            <w:tcW w:w="150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8000</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454" w:hRule="exact"/>
          <w:jc w:val="center"/>
        </w:trPr>
        <w:tc>
          <w:tcPr>
            <w:tcW w:w="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w:t>
            </w:r>
          </w:p>
        </w:tc>
        <w:tc>
          <w:tcPr>
            <w:tcW w:w="1311"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临湘市</w:t>
            </w:r>
          </w:p>
        </w:tc>
        <w:tc>
          <w:tcPr>
            <w:tcW w:w="3024"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黄盖湖防洪治理工程</w:t>
            </w:r>
          </w:p>
        </w:tc>
        <w:tc>
          <w:tcPr>
            <w:tcW w:w="1491"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2500</w:t>
            </w:r>
          </w:p>
        </w:tc>
        <w:tc>
          <w:tcPr>
            <w:tcW w:w="150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2500</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737" w:hRule="exact"/>
          <w:jc w:val="center"/>
        </w:trPr>
        <w:tc>
          <w:tcPr>
            <w:tcW w:w="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4</w:t>
            </w:r>
          </w:p>
        </w:tc>
        <w:tc>
          <w:tcPr>
            <w:tcW w:w="1311"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省洞庭湖水利管理局</w:t>
            </w:r>
          </w:p>
        </w:tc>
        <w:tc>
          <w:tcPr>
            <w:tcW w:w="3024"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钱粮湖、共双茶、大通湖东垸三垸蓄洪安全建设一期工程</w:t>
            </w:r>
          </w:p>
        </w:tc>
        <w:tc>
          <w:tcPr>
            <w:tcW w:w="1491"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20000</w:t>
            </w:r>
          </w:p>
        </w:tc>
        <w:tc>
          <w:tcPr>
            <w:tcW w:w="150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20000</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737" w:hRule="exact"/>
          <w:jc w:val="center"/>
        </w:trPr>
        <w:tc>
          <w:tcPr>
            <w:tcW w:w="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w:t>
            </w:r>
          </w:p>
        </w:tc>
        <w:tc>
          <w:tcPr>
            <w:tcW w:w="1311"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省洞庭湖水利管理局</w:t>
            </w:r>
          </w:p>
        </w:tc>
        <w:tc>
          <w:tcPr>
            <w:tcW w:w="3024"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钱粮湖、共双茶、大通湖东垸三垸蓄洪工程分洪闸工程</w:t>
            </w:r>
          </w:p>
        </w:tc>
        <w:tc>
          <w:tcPr>
            <w:tcW w:w="1491"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5000</w:t>
            </w:r>
          </w:p>
        </w:tc>
        <w:tc>
          <w:tcPr>
            <w:tcW w:w="1508"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5000</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bl>
    <w:p>
      <w:pPr>
        <w:pStyle w:val="5"/>
        <w:keepNext w:val="0"/>
        <w:keepLines w:val="0"/>
        <w:ind w:firstLine="643" w:firstLineChars="200"/>
        <w:rPr>
          <w:rFonts w:ascii="Times New Roman" w:hAnsi="Times New Roman" w:eastAsia="仿宋_GB2312" w:cs="Times New Roman"/>
          <w:sz w:val="32"/>
        </w:rPr>
      </w:pPr>
      <w:r>
        <w:rPr>
          <w:rFonts w:ascii="Times New Roman" w:hAnsi="Times New Roman" w:eastAsia="仿宋_GB2312" w:cs="Times New Roman"/>
          <w:sz w:val="32"/>
        </w:rPr>
        <w:t>（5）涔天河水库建设资金</w:t>
      </w:r>
    </w:p>
    <w:p>
      <w:pPr>
        <w:ind w:firstLine="640" w:firstLineChars="200"/>
        <w:rPr>
          <w:rFonts w:eastAsia="仿宋_GB2312"/>
          <w:sz w:val="32"/>
        </w:rPr>
      </w:pPr>
      <w:r>
        <w:rPr>
          <w:rFonts w:eastAsia="仿宋_GB2312"/>
          <w:sz w:val="32"/>
        </w:rPr>
        <w:t>2017年涔天河水库建设资金批复安排省级财政资金35000万元。截止2017年12月31日，实际到位专项资金35000万元，到位率为100%。</w:t>
      </w:r>
    </w:p>
    <w:p>
      <w:pPr>
        <w:jc w:val="center"/>
        <w:rPr>
          <w:sz w:val="32"/>
        </w:rPr>
      </w:pPr>
      <w:r>
        <w:rPr>
          <w:rFonts w:eastAsia="方正小标宋_GBK"/>
          <w:b/>
          <w:bCs/>
          <w:kern w:val="0"/>
          <w:sz w:val="28"/>
          <w:szCs w:val="24"/>
        </w:rPr>
        <w:t>2017年涔天河水库建设资金计划及到位情况表</w:t>
      </w:r>
    </w:p>
    <w:tbl>
      <w:tblPr>
        <w:tblStyle w:val="21"/>
        <w:tblW w:w="9215" w:type="dxa"/>
        <w:jc w:val="center"/>
        <w:tblInd w:w="-139" w:type="dxa"/>
        <w:tblLayout w:type="fixed"/>
        <w:tblCellMar>
          <w:top w:w="0" w:type="dxa"/>
          <w:left w:w="108" w:type="dxa"/>
          <w:bottom w:w="0" w:type="dxa"/>
          <w:right w:w="108" w:type="dxa"/>
        </w:tblCellMar>
      </w:tblPr>
      <w:tblGrid>
        <w:gridCol w:w="926"/>
        <w:gridCol w:w="948"/>
        <w:gridCol w:w="1890"/>
        <w:gridCol w:w="2471"/>
        <w:gridCol w:w="1750"/>
        <w:gridCol w:w="1230"/>
      </w:tblGrid>
      <w:tr>
        <w:tblPrEx>
          <w:tblLayout w:type="fixed"/>
          <w:tblCellMar>
            <w:top w:w="0" w:type="dxa"/>
            <w:left w:w="108" w:type="dxa"/>
            <w:bottom w:w="0" w:type="dxa"/>
            <w:right w:w="108" w:type="dxa"/>
          </w:tblCellMar>
        </w:tblPrEx>
        <w:trPr>
          <w:trHeight w:val="383" w:hRule="atLeast"/>
          <w:jc w:val="center"/>
        </w:trPr>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序号</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县市区</w:t>
            </w:r>
          </w:p>
        </w:tc>
        <w:tc>
          <w:tcPr>
            <w:tcW w:w="18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项目</w:t>
            </w:r>
          </w:p>
        </w:tc>
        <w:tc>
          <w:tcPr>
            <w:tcW w:w="247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批复资金（万元）</w:t>
            </w:r>
          </w:p>
        </w:tc>
        <w:tc>
          <w:tcPr>
            <w:tcW w:w="17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实际到位资金</w:t>
            </w:r>
          </w:p>
          <w:p>
            <w:pPr>
              <w:widowControl/>
              <w:jc w:val="center"/>
              <w:rPr>
                <w:rFonts w:eastAsia="黑体"/>
                <w:b/>
                <w:bCs/>
                <w:kern w:val="0"/>
                <w:sz w:val="20"/>
                <w:szCs w:val="20"/>
              </w:rPr>
            </w:pPr>
            <w:r>
              <w:rPr>
                <w:rFonts w:eastAsia="黑体"/>
                <w:b/>
                <w:bCs/>
                <w:kern w:val="0"/>
                <w:sz w:val="20"/>
                <w:szCs w:val="20"/>
              </w:rPr>
              <w:t>（万元）</w:t>
            </w:r>
          </w:p>
        </w:tc>
        <w:tc>
          <w:tcPr>
            <w:tcW w:w="12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黑体"/>
                <w:b/>
                <w:bCs/>
                <w:kern w:val="0"/>
                <w:sz w:val="20"/>
                <w:szCs w:val="20"/>
              </w:rPr>
            </w:pPr>
            <w:r>
              <w:rPr>
                <w:rFonts w:eastAsia="黑体"/>
                <w:b/>
                <w:bCs/>
                <w:kern w:val="0"/>
                <w:sz w:val="20"/>
                <w:szCs w:val="20"/>
              </w:rPr>
              <w:t>到位率</w:t>
            </w:r>
          </w:p>
        </w:tc>
      </w:tr>
      <w:tr>
        <w:tblPrEx>
          <w:tblLayout w:type="fixed"/>
          <w:tblCellMar>
            <w:top w:w="0" w:type="dxa"/>
            <w:left w:w="108" w:type="dxa"/>
            <w:bottom w:w="0" w:type="dxa"/>
            <w:right w:w="108" w:type="dxa"/>
          </w:tblCellMar>
        </w:tblPrEx>
        <w:trPr>
          <w:trHeight w:val="567" w:hRule="exact"/>
          <w:jc w:val="center"/>
        </w:trPr>
        <w:tc>
          <w:tcPr>
            <w:tcW w:w="3764"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eastAsia="宋体"/>
                <w:b/>
                <w:bCs/>
                <w:kern w:val="0"/>
                <w:sz w:val="20"/>
                <w:szCs w:val="20"/>
              </w:rPr>
            </w:pPr>
            <w:r>
              <w:rPr>
                <w:rFonts w:eastAsia="宋体"/>
                <w:b/>
                <w:bCs/>
                <w:kern w:val="0"/>
                <w:sz w:val="20"/>
                <w:szCs w:val="20"/>
              </w:rPr>
              <w:t>合  计</w:t>
            </w:r>
          </w:p>
        </w:tc>
        <w:tc>
          <w:tcPr>
            <w:tcW w:w="2471"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0"/>
                <w:szCs w:val="20"/>
              </w:rPr>
            </w:pPr>
            <w:r>
              <w:rPr>
                <w:rFonts w:eastAsia="等线"/>
                <w:b/>
                <w:bCs/>
                <w:kern w:val="0"/>
                <w:sz w:val="20"/>
                <w:szCs w:val="20"/>
              </w:rPr>
              <w:t>35000</w:t>
            </w:r>
          </w:p>
        </w:tc>
        <w:tc>
          <w:tcPr>
            <w:tcW w:w="1750" w:type="dxa"/>
            <w:tcBorders>
              <w:top w:val="nil"/>
              <w:left w:val="nil"/>
              <w:bottom w:val="single" w:color="auto" w:sz="4" w:space="0"/>
              <w:right w:val="single" w:color="auto" w:sz="4" w:space="0"/>
            </w:tcBorders>
            <w:shd w:val="clear" w:color="auto" w:fill="auto"/>
            <w:vAlign w:val="center"/>
          </w:tcPr>
          <w:p>
            <w:pPr>
              <w:widowControl/>
              <w:jc w:val="center"/>
              <w:rPr>
                <w:rFonts w:eastAsia="等线"/>
                <w:b/>
                <w:bCs/>
                <w:kern w:val="0"/>
                <w:sz w:val="20"/>
                <w:szCs w:val="20"/>
              </w:rPr>
            </w:pPr>
            <w:r>
              <w:rPr>
                <w:rFonts w:eastAsia="等线"/>
                <w:b/>
                <w:bCs/>
                <w:kern w:val="0"/>
                <w:sz w:val="20"/>
                <w:szCs w:val="20"/>
              </w:rPr>
              <w:t>35000</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r>
        <w:tblPrEx>
          <w:tblLayout w:type="fixed"/>
          <w:tblCellMar>
            <w:top w:w="0" w:type="dxa"/>
            <w:left w:w="108" w:type="dxa"/>
            <w:bottom w:w="0" w:type="dxa"/>
            <w:right w:w="108" w:type="dxa"/>
          </w:tblCellMar>
        </w:tblPrEx>
        <w:trPr>
          <w:trHeight w:val="567" w:hRule="exact"/>
          <w:jc w:val="center"/>
        </w:trPr>
        <w:tc>
          <w:tcPr>
            <w:tcW w:w="9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 w:val="20"/>
                <w:szCs w:val="20"/>
              </w:rPr>
            </w:pPr>
          </w:p>
        </w:tc>
        <w:tc>
          <w:tcPr>
            <w:tcW w:w="948"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永州市</w:t>
            </w:r>
          </w:p>
        </w:tc>
        <w:tc>
          <w:tcPr>
            <w:tcW w:w="1890" w:type="dxa"/>
            <w:tcBorders>
              <w:top w:val="nil"/>
              <w:left w:val="nil"/>
              <w:bottom w:val="single" w:color="auto" w:sz="4" w:space="0"/>
              <w:right w:val="single" w:color="auto" w:sz="4" w:space="0"/>
            </w:tcBorders>
            <w:shd w:val="clear" w:color="auto" w:fill="auto"/>
            <w:vAlign w:val="center"/>
          </w:tcPr>
          <w:p>
            <w:pPr>
              <w:widowControl/>
              <w:jc w:val="left"/>
              <w:rPr>
                <w:rFonts w:eastAsia="宋体"/>
                <w:kern w:val="0"/>
                <w:sz w:val="20"/>
                <w:szCs w:val="20"/>
              </w:rPr>
            </w:pPr>
            <w:r>
              <w:rPr>
                <w:rFonts w:eastAsia="宋体"/>
                <w:kern w:val="0"/>
                <w:sz w:val="20"/>
                <w:szCs w:val="20"/>
              </w:rPr>
              <w:t>涔天河水库工程</w:t>
            </w:r>
          </w:p>
        </w:tc>
        <w:tc>
          <w:tcPr>
            <w:tcW w:w="2471"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35000</w:t>
            </w:r>
          </w:p>
        </w:tc>
        <w:tc>
          <w:tcPr>
            <w:tcW w:w="175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35000</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20"/>
                <w:szCs w:val="20"/>
              </w:rPr>
            </w:pPr>
            <w:r>
              <w:rPr>
                <w:rFonts w:eastAsia="等线"/>
                <w:kern w:val="0"/>
                <w:sz w:val="20"/>
                <w:szCs w:val="20"/>
              </w:rPr>
              <w:t>100%</w:t>
            </w:r>
          </w:p>
        </w:tc>
      </w:tr>
    </w:tbl>
    <w:p>
      <w:pPr>
        <w:ind w:firstLine="600" w:firstLineChars="200"/>
      </w:pPr>
    </w:p>
    <w:p>
      <w:pPr>
        <w:pStyle w:val="4"/>
        <w:keepNext w:val="0"/>
        <w:keepLines w:val="0"/>
        <w:spacing w:line="600" w:lineRule="exact"/>
        <w:ind w:left="0" w:leftChars="0" w:firstLine="643" w:firstLineChars="200"/>
        <w:rPr>
          <w:rFonts w:eastAsia="仿宋_GB2312"/>
          <w:sz w:val="32"/>
        </w:rPr>
      </w:pPr>
      <w:bookmarkStart w:id="18" w:name="_Toc512350714"/>
      <w:bookmarkStart w:id="19" w:name="_Toc511115253"/>
      <w:r>
        <w:rPr>
          <w:rFonts w:eastAsia="仿宋_GB2312"/>
          <w:sz w:val="32"/>
        </w:rPr>
        <w:t>2．专项资金使用情况</w:t>
      </w:r>
      <w:bookmarkEnd w:id="18"/>
      <w:bookmarkEnd w:id="19"/>
    </w:p>
    <w:p>
      <w:pPr>
        <w:pStyle w:val="5"/>
        <w:keepNext w:val="0"/>
        <w:keepLines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（1）基层水管单位能力建设补助资金</w:t>
      </w:r>
    </w:p>
    <w:p>
      <w:pPr>
        <w:spacing w:line="600" w:lineRule="exact"/>
        <w:ind w:firstLine="640" w:firstLineChars="200"/>
        <w:rPr>
          <w:rFonts w:eastAsia="仿宋_GB2312"/>
          <w:sz w:val="32"/>
          <w:szCs w:val="32"/>
        </w:rPr>
      </w:pPr>
      <w:r>
        <w:rPr>
          <w:rFonts w:eastAsia="仿宋_GB2312"/>
          <w:sz w:val="32"/>
          <w:szCs w:val="32"/>
        </w:rPr>
        <w:t>截至2018年3月，2017年度基层水管单位能力建设补助资金批复安排省级财政资金2410万元。投资完成额为100%。</w:t>
      </w:r>
    </w:p>
    <w:p>
      <w:pPr>
        <w:pStyle w:val="5"/>
        <w:keepNext w:val="0"/>
        <w:keepLines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（2）农田水利综合改革试点资金和省级小型农田水利建设资金</w:t>
      </w:r>
    </w:p>
    <w:p>
      <w:pPr>
        <w:spacing w:line="600" w:lineRule="exact"/>
        <w:ind w:firstLine="640" w:firstLineChars="200"/>
        <w:rPr>
          <w:rFonts w:eastAsia="仿宋_GB2312"/>
          <w:sz w:val="32"/>
          <w:szCs w:val="32"/>
        </w:rPr>
      </w:pPr>
      <w:r>
        <w:rPr>
          <w:rFonts w:eastAsia="仿宋_GB2312"/>
          <w:sz w:val="32"/>
          <w:szCs w:val="32"/>
        </w:rPr>
        <w:t>截至2018年3月，2017年农田水利综合改革试点资金批复安排省级财政资金2590万元。投资完成额为100%；2017年省级小型农田水利建设资金批复安排省级财政资金3920万元。投资完成额为100%。</w:t>
      </w:r>
    </w:p>
    <w:p>
      <w:pPr>
        <w:pStyle w:val="5"/>
        <w:keepNext w:val="0"/>
        <w:keepLines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（3）农业水价综合改革资金</w:t>
      </w:r>
    </w:p>
    <w:p>
      <w:pPr>
        <w:spacing w:line="600" w:lineRule="exact"/>
        <w:ind w:firstLine="640" w:firstLineChars="200"/>
        <w:rPr>
          <w:rFonts w:eastAsia="仿宋_GB2312"/>
          <w:sz w:val="32"/>
          <w:szCs w:val="32"/>
        </w:rPr>
      </w:pPr>
      <w:bookmarkStart w:id="20" w:name="_Hlk510966356"/>
      <w:r>
        <w:rPr>
          <w:rFonts w:eastAsia="仿宋_GB2312"/>
          <w:sz w:val="32"/>
          <w:szCs w:val="32"/>
        </w:rPr>
        <w:t>截至2018年3月，2017年农业水价综合改革资金批复安排省级财政资金4000万元。投资完成额为96.53%。</w:t>
      </w:r>
    </w:p>
    <w:bookmarkEnd w:id="20"/>
    <w:p>
      <w:pPr>
        <w:pStyle w:val="5"/>
        <w:keepNext w:val="0"/>
        <w:keepLines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（4）莽山水库工程省级配套等省级水利资金</w:t>
      </w:r>
    </w:p>
    <w:p>
      <w:pPr>
        <w:spacing w:line="600" w:lineRule="exact"/>
        <w:ind w:firstLine="640" w:firstLineChars="200"/>
        <w:rPr>
          <w:rFonts w:eastAsia="仿宋_GB2312"/>
          <w:sz w:val="32"/>
          <w:szCs w:val="32"/>
        </w:rPr>
      </w:pPr>
      <w:r>
        <w:rPr>
          <w:rFonts w:eastAsia="仿宋_GB2312"/>
          <w:sz w:val="32"/>
          <w:szCs w:val="32"/>
        </w:rPr>
        <w:t>截至2018年3月，2017年莽山水库工程省级配套等省级水利资金批复安排省级财政资金45500万元。投资完成额为100%。</w:t>
      </w:r>
    </w:p>
    <w:p>
      <w:pPr>
        <w:pStyle w:val="5"/>
        <w:keepNext w:val="0"/>
        <w:keepLines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bookmarkStart w:id="21" w:name="_Hlk510966365"/>
      <w:r>
        <w:rPr>
          <w:rFonts w:ascii="Times New Roman" w:hAnsi="Times New Roman" w:eastAsia="仿宋_GB2312" w:cs="Times New Roman"/>
          <w:sz w:val="32"/>
          <w:szCs w:val="32"/>
        </w:rPr>
        <w:t>涔天河水库建设资金</w:t>
      </w:r>
      <w:bookmarkEnd w:id="21"/>
    </w:p>
    <w:p>
      <w:pPr>
        <w:spacing w:line="600" w:lineRule="exact"/>
        <w:ind w:firstLine="640" w:firstLineChars="200"/>
        <w:rPr>
          <w:rFonts w:eastAsia="仿宋_GB2312"/>
          <w:sz w:val="32"/>
          <w:szCs w:val="32"/>
        </w:rPr>
      </w:pPr>
      <w:r>
        <w:rPr>
          <w:rFonts w:eastAsia="仿宋_GB2312"/>
          <w:sz w:val="32"/>
          <w:szCs w:val="32"/>
        </w:rPr>
        <w:t>截至2018年3月，2017年涔天河水库建设资金批复安排省级财政资金35000万元。投资完成额为100%。</w:t>
      </w:r>
    </w:p>
    <w:p>
      <w:pPr>
        <w:pStyle w:val="3"/>
        <w:keepNext w:val="0"/>
        <w:keepLines w:val="0"/>
        <w:spacing w:line="600" w:lineRule="exact"/>
        <w:ind w:firstLine="643" w:firstLineChars="200"/>
        <w:rPr>
          <w:rFonts w:ascii="Times New Roman" w:hAnsi="Times New Roman" w:eastAsia="楷体_GB2312" w:cs="Times New Roman"/>
        </w:rPr>
      </w:pPr>
      <w:bookmarkStart w:id="22" w:name="_Toc512350715"/>
      <w:bookmarkStart w:id="23" w:name="_Toc511115254"/>
      <w:r>
        <w:rPr>
          <w:rFonts w:ascii="Times New Roman" w:hAnsi="Times New Roman" w:eastAsia="楷体_GB2312" w:cs="Times New Roman"/>
        </w:rPr>
        <w:t>（二）项目财务管理情况</w:t>
      </w:r>
      <w:bookmarkEnd w:id="22"/>
      <w:bookmarkEnd w:id="23"/>
    </w:p>
    <w:p>
      <w:pPr>
        <w:spacing w:line="600" w:lineRule="exact"/>
        <w:ind w:firstLine="640" w:firstLineChars="200"/>
        <w:rPr>
          <w:rFonts w:eastAsia="仿宋_GB2312"/>
          <w:sz w:val="32"/>
          <w:szCs w:val="32"/>
        </w:rPr>
      </w:pPr>
      <w:r>
        <w:rPr>
          <w:rFonts w:eastAsia="仿宋_GB2312"/>
          <w:sz w:val="32"/>
          <w:szCs w:val="32"/>
        </w:rPr>
        <w:t>重大水利建设各项目的资金拨付以国库集中支付和报账制为主，依据监理审核确认的进度申请单按进度支付，专款专用。竣工验收前累计付款不超过合同总金额的80%，竣工验收后，留5-10%作为工程质保金，如在缺陷责任期（12个月）内未出现质量缺陷，质保金一次性付清。专项资金实行专户储存，专户管理，制定了相应的资金管理办法，确保专款专用。</w:t>
      </w:r>
    </w:p>
    <w:p>
      <w:pPr>
        <w:pStyle w:val="3"/>
        <w:keepNext w:val="0"/>
        <w:keepLines w:val="0"/>
        <w:spacing w:line="600" w:lineRule="exact"/>
        <w:ind w:firstLine="643" w:firstLineChars="200"/>
        <w:rPr>
          <w:rFonts w:ascii="Times New Roman" w:hAnsi="Times New Roman" w:eastAsia="楷体_GB2312" w:cs="Times New Roman"/>
        </w:rPr>
      </w:pPr>
      <w:bookmarkStart w:id="24" w:name="_Toc512350716"/>
      <w:bookmarkStart w:id="25" w:name="_Toc511115255"/>
      <w:r>
        <w:rPr>
          <w:rFonts w:ascii="Times New Roman" w:hAnsi="Times New Roman" w:eastAsia="楷体_GB2312" w:cs="Times New Roman"/>
        </w:rPr>
        <w:t>（三）项目组织实施情况</w:t>
      </w:r>
      <w:bookmarkEnd w:id="24"/>
      <w:bookmarkEnd w:id="25"/>
    </w:p>
    <w:p>
      <w:pPr>
        <w:pStyle w:val="4"/>
        <w:keepNext w:val="0"/>
        <w:keepLines w:val="0"/>
        <w:spacing w:line="600" w:lineRule="exact"/>
        <w:ind w:left="0" w:leftChars="0" w:firstLine="643" w:firstLineChars="200"/>
        <w:rPr>
          <w:rFonts w:eastAsia="仿宋_GB2312"/>
          <w:sz w:val="32"/>
        </w:rPr>
      </w:pPr>
      <w:bookmarkStart w:id="26" w:name="_Toc512350717"/>
      <w:bookmarkStart w:id="27" w:name="_Toc511115256"/>
      <w:r>
        <w:rPr>
          <w:rFonts w:eastAsia="仿宋_GB2312"/>
          <w:sz w:val="32"/>
        </w:rPr>
        <w:t>1．项目组织情况</w:t>
      </w:r>
      <w:bookmarkEnd w:id="26"/>
      <w:bookmarkEnd w:id="27"/>
    </w:p>
    <w:p>
      <w:pPr>
        <w:pStyle w:val="12"/>
        <w:spacing w:line="600" w:lineRule="exact"/>
        <w:ind w:firstLine="640" w:firstLineChars="200"/>
        <w:rPr>
          <w:rFonts w:eastAsia="仿宋_GB2312"/>
          <w:sz w:val="32"/>
          <w:szCs w:val="32"/>
        </w:rPr>
      </w:pPr>
      <w:r>
        <w:rPr>
          <w:rFonts w:eastAsia="仿宋_GB2312"/>
          <w:sz w:val="32"/>
          <w:szCs w:val="32"/>
        </w:rPr>
        <w:t>在项目组织上，重大水利建设各项目县严格按水利部、财政部相关规定编制的实施方案。方案确定后选择具备相应资质的设计单位编制建设项目初步设计报告，初步设计报告经省水利厅组织的专家审查，通过了省水利厅的批复。省水利厅下达实施计划后，工程项目法人通过公开招标投标确定相关单位，并与设计单位、施工单位、监理单位签订相关合同，将工程的设计、施工、监理等相关事宜在合同中予以约定，在工程建设过程中严格按照合同要求施工，项目变更及时由施工单位申报，业主及设计、监理审批。工程完工后由施工单位申请，项目法人组织设计单位、监理单位、质量监督站、各区县水利局完成项目法人验收。并积极向上级主管部门申请项目竣工验收，项目竣工验收后，及时办理交接手续，明确管理主体，完善各项工程管理措施，保证建设项目发挥效益。其中涔天河水库工程由永州市组建项目法人，洞庭湖三垸蓄洪工程经省人民政府批准，由洞工局直接组建项目法人。</w:t>
      </w:r>
    </w:p>
    <w:p>
      <w:pPr>
        <w:pStyle w:val="4"/>
        <w:keepNext w:val="0"/>
        <w:keepLines w:val="0"/>
        <w:spacing w:line="600" w:lineRule="exact"/>
        <w:ind w:left="0" w:leftChars="0" w:firstLine="643" w:firstLineChars="200"/>
        <w:rPr>
          <w:rFonts w:eastAsia="仿宋_GB2312"/>
          <w:sz w:val="32"/>
        </w:rPr>
      </w:pPr>
      <w:bookmarkStart w:id="28" w:name="_Toc511115257"/>
      <w:bookmarkStart w:id="29" w:name="_Toc512350718"/>
      <w:r>
        <w:rPr>
          <w:rFonts w:eastAsia="仿宋_GB2312"/>
          <w:sz w:val="32"/>
        </w:rPr>
        <w:t>2．项目管理情况</w:t>
      </w:r>
      <w:bookmarkEnd w:id="28"/>
      <w:bookmarkEnd w:id="29"/>
    </w:p>
    <w:p>
      <w:pPr>
        <w:spacing w:line="600" w:lineRule="exact"/>
        <w:ind w:firstLine="640" w:firstLineChars="200"/>
        <w:rPr>
          <w:rFonts w:eastAsia="仿宋_GB2312"/>
          <w:sz w:val="32"/>
          <w:szCs w:val="32"/>
        </w:rPr>
      </w:pPr>
      <w:r>
        <w:rPr>
          <w:rFonts w:eastAsia="仿宋_GB2312"/>
          <w:sz w:val="32"/>
          <w:szCs w:val="32"/>
        </w:rPr>
        <w:t>在项目管理上重大水利建设各项目县严格按项目建设“四制”执行项目管理，并制定严格的项目质量控制体系。</w:t>
      </w:r>
    </w:p>
    <w:p>
      <w:pPr>
        <w:pStyle w:val="31"/>
        <w:numPr>
          <w:ilvl w:val="0"/>
          <w:numId w:val="1"/>
        </w:numPr>
        <w:spacing w:line="600" w:lineRule="exact"/>
        <w:ind w:left="0" w:firstLine="640"/>
        <w:rPr>
          <w:rFonts w:eastAsia="仿宋_GB2312"/>
          <w:sz w:val="32"/>
          <w:szCs w:val="32"/>
        </w:rPr>
      </w:pPr>
      <w:r>
        <w:rPr>
          <w:rFonts w:eastAsia="仿宋_GB2312"/>
          <w:sz w:val="32"/>
          <w:szCs w:val="32"/>
        </w:rPr>
        <w:drawing>
          <wp:anchor distT="0" distB="0" distL="114300" distR="114300" simplePos="0" relativeHeight="251648000" behindDoc="1" locked="0" layoutInCell="1" allowOverlap="1">
            <wp:simplePos x="0" y="0"/>
            <wp:positionH relativeFrom="margin">
              <wp:posOffset>-106045</wp:posOffset>
            </wp:positionH>
            <wp:positionV relativeFrom="paragraph">
              <wp:posOffset>57785</wp:posOffset>
            </wp:positionV>
            <wp:extent cx="2466340" cy="3604895"/>
            <wp:effectExtent l="0" t="0" r="0" b="0"/>
            <wp:wrapTight wrapText="bothSides">
              <wp:wrapPolygon>
                <wp:start x="0" y="0"/>
                <wp:lineTo x="0" y="21459"/>
                <wp:lineTo x="21355" y="21459"/>
                <wp:lineTo x="21355"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66340" cy="3604895"/>
                    </a:xfrm>
                    <a:prstGeom prst="rect">
                      <a:avLst/>
                    </a:prstGeom>
                    <a:noFill/>
                    <a:ln>
                      <a:noFill/>
                    </a:ln>
                  </pic:spPr>
                </pic:pic>
              </a:graphicData>
            </a:graphic>
          </wp:anchor>
        </w:drawing>
      </w:r>
      <w:r>
        <w:rPr>
          <w:rFonts w:eastAsia="仿宋_GB2312"/>
          <w:sz w:val="32"/>
          <w:szCs w:val="32"/>
        </w:rPr>
        <w:t>项目法人责任制。各县经人民政府批准，组建了水利建设管理中心，履行项目法人职责，下设工程组、财务组、质监组、统计信息组等相关职能部门，达到的建设管理要求。其中涔天河水库工程由永州市组建项目法人，洞庭湖三垸蓄洪工程经省人民政府批准，由洞工局直接组建项目法人。</w:t>
      </w:r>
    </w:p>
    <w:p>
      <w:pPr>
        <w:spacing w:line="60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54144" behindDoc="0" locked="0" layoutInCell="1" allowOverlap="1">
                <wp:simplePos x="0" y="0"/>
                <wp:positionH relativeFrom="column">
                  <wp:posOffset>-2195830</wp:posOffset>
                </wp:positionH>
                <wp:positionV relativeFrom="paragraph">
                  <wp:posOffset>234950</wp:posOffset>
                </wp:positionV>
                <wp:extent cx="1898015" cy="25273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98073" cy="25273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rPr>
                                <w:rFonts w:ascii="黑体" w:hAnsi="黑体" w:eastAsia="黑体"/>
                                <w:sz w:val="18"/>
                              </w:rPr>
                            </w:pPr>
                            <w:r>
                              <w:rPr>
                                <w:rFonts w:hint="eastAsia" w:ascii="黑体" w:hAnsi="黑体" w:eastAsia="黑体"/>
                                <w:sz w:val="18"/>
                              </w:rPr>
                              <w:t>毛俊水库工程招标文件</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2.9pt;margin-top:18.5pt;height:19.9pt;width:149.45pt;z-index:251654144;mso-width-relative:page;mso-height-relative:page;" filled="f" stroked="f" coordsize="21600,21600" o:gfxdata="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2qe42QAAAAoBAAAPAAAAAAAAAAEAIAAAACIAAABkcnMvZG93bnJl&#10;di54bWxQSwECFAAUAAAACACHTuJASBB4/vwBAADLAwAADgAAAAAAAAABACAAAAAoAQAAZHJzL2Uy&#10;b0RvYy54bWxQSwUGAAAAAAYABgBZAQAAlgUAAAAA&#10;">
                <v:fill on="f" focussize="0,0"/>
                <v:stroke on="f"/>
                <v:imagedata o:title=""/>
                <o:lock v:ext="edit" aspectratio="f"/>
                <v:textbox>
                  <w:txbxContent>
                    <w:p>
                      <w:pPr>
                        <w:rPr>
                          <w:rFonts w:ascii="黑体" w:hAnsi="黑体" w:eastAsia="黑体"/>
                          <w:sz w:val="18"/>
                        </w:rPr>
                      </w:pPr>
                      <w:r>
                        <w:rPr>
                          <w:rFonts w:hint="eastAsia" w:ascii="黑体" w:hAnsi="黑体" w:eastAsia="黑体"/>
                          <w:sz w:val="18"/>
                        </w:rPr>
                        <w:t>毛俊水库工程招标文件</w:t>
                      </w:r>
                    </w:p>
                  </w:txbxContent>
                </v:textbox>
              </v:shape>
            </w:pict>
          </mc:Fallback>
        </mc:AlternateContent>
      </w:r>
      <w:r>
        <w:rPr>
          <w:rFonts w:hint="eastAsia" w:ascii="宋体" w:hAnsi="宋体" w:eastAsia="宋体" w:cs="宋体"/>
          <w:sz w:val="32"/>
          <w:szCs w:val="32"/>
        </w:rPr>
        <w:t>②</w:t>
      </w:r>
      <w:r>
        <w:rPr>
          <w:rFonts w:eastAsia="仿宋_GB2312"/>
          <w:sz w:val="32"/>
          <w:szCs w:val="32"/>
        </w:rPr>
        <w:t>招投标制。项目严格执行招投标各项制度及相关规定，对达到政府采购以及招投标金额的水利工程、主要设备物资采购等，履行了招投标和政府采购程序。</w:t>
      </w:r>
    </w:p>
    <w:p>
      <w:pPr>
        <w:spacing w:line="600" w:lineRule="exact"/>
        <w:ind w:firstLine="640" w:firstLineChars="200"/>
        <w:rPr>
          <w:rFonts w:eastAsia="仿宋_GB2312"/>
          <w:sz w:val="32"/>
          <w:szCs w:val="32"/>
        </w:rPr>
      </w:pPr>
      <w:r>
        <w:rPr>
          <w:rFonts w:hint="eastAsia" w:ascii="宋体" w:hAnsi="宋体" w:eastAsia="宋体" w:cs="宋体"/>
          <w:sz w:val="32"/>
          <w:szCs w:val="32"/>
        </w:rPr>
        <w:t>③</w:t>
      </w:r>
      <w:r>
        <w:rPr>
          <w:rFonts w:eastAsia="仿宋_GB2312"/>
          <w:sz w:val="32"/>
          <w:szCs w:val="32"/>
        </w:rPr>
        <w:t>监理制。项目严格按公平、公正、择优或招投标方式确定有资质的监理单位。明确的监理人员均持证上岗，数量满足项目和合同、监理规划和细则编制及监理资料满足规程和建设的要求。</w:t>
      </w:r>
    </w:p>
    <w:p>
      <w:pPr>
        <w:spacing w:line="600" w:lineRule="exact"/>
        <w:ind w:firstLine="640" w:firstLineChars="200"/>
        <w:rPr>
          <w:rFonts w:eastAsia="仿宋_GB2312"/>
          <w:sz w:val="32"/>
          <w:szCs w:val="32"/>
        </w:rPr>
      </w:pPr>
      <w:r>
        <w:rPr>
          <w:rFonts w:hint="eastAsia" w:ascii="宋体" w:hAnsi="宋体" w:eastAsia="宋体" w:cs="宋体"/>
          <w:sz w:val="32"/>
          <w:szCs w:val="32"/>
        </w:rPr>
        <w:t>④</w:t>
      </w:r>
      <w:r>
        <w:rPr>
          <w:rFonts w:eastAsia="仿宋_GB2312"/>
          <w:sz w:val="32"/>
          <w:szCs w:val="32"/>
        </w:rPr>
        <w:t>合同制。严格按规范与设计、施工、监理等单位签订合同，全面落实的《工程建设合同》、《廉政合同》和《安全生产合同》的双签制度。</w:t>
      </w:r>
    </w:p>
    <w:p>
      <w:pPr>
        <w:spacing w:line="600" w:lineRule="exact"/>
        <w:ind w:firstLine="640" w:firstLineChars="200"/>
        <w:rPr>
          <w:rFonts w:eastAsia="仿宋_GB2312"/>
          <w:sz w:val="32"/>
          <w:szCs w:val="32"/>
        </w:rPr>
      </w:pPr>
      <w:r>
        <w:rPr>
          <w:rFonts w:eastAsia="仿宋_GB2312"/>
          <w:sz w:val="32"/>
          <w:szCs w:val="32"/>
        </w:rPr>
        <w:t>各县建立了质量检查体系（项目法人负全责）、质量控制体系（监理单位控制）、质量保证体系（施工单位保证）、质量监督体系和抽检制度。监理单位实行全过程旁站监理，坚持每道工序首先由施工单位自检，监理抽检，抽检不合格的，及时纠正，切实控制了工程建设质量。水利工程质量监督部门定期或不定期对实施项目进行质量抽检。</w:t>
      </w:r>
    </w:p>
    <w:p>
      <w:pPr>
        <w:pStyle w:val="12"/>
        <w:spacing w:line="600" w:lineRule="exact"/>
        <w:ind w:firstLine="640" w:firstLineChars="200"/>
        <w:rPr>
          <w:rFonts w:eastAsia="仿宋_GB2312"/>
          <w:sz w:val="32"/>
          <w:szCs w:val="32"/>
        </w:rPr>
      </w:pPr>
      <w:r>
        <w:rPr>
          <w:rFonts w:eastAsia="仿宋_GB2312"/>
          <w:sz w:val="32"/>
          <w:szCs w:val="32"/>
        </w:rPr>
        <w:t>农田水利综合改革试点项目普遍采取两种模式实施，对工程管材采购部分采取招投标方式实施，由项目法人通过公开招标确定施工单位，实施过程中严格项目法人责任制、招标投标制、建设监理制和合同管理制管理。对工程土建部分采取“以奖代补、先建后补、民办公助”方式，由受益主体自主实施。县级水利部门及乡镇水利站负责技术指导、监督，由镇政府组织初验合格，水利局、财政局组织联合验收合格后方可拨付奖补资金。各项目县严格落实《湖南省小型农田水利设施建设村级公示办法》有关要求，实行申报立项、工程建设、完工验收三个阶段公示，充分发挥社会监督作用，确保资金安全。</w:t>
      </w:r>
    </w:p>
    <w:p>
      <w:pPr>
        <w:pStyle w:val="12"/>
        <w:spacing w:line="600" w:lineRule="exact"/>
        <w:ind w:firstLine="640" w:firstLineChars="200"/>
        <w:rPr>
          <w:rFonts w:eastAsia="仿宋_GB2312"/>
          <w:sz w:val="32"/>
          <w:szCs w:val="32"/>
        </w:rPr>
      </w:pPr>
      <w:r>
        <w:rPr>
          <w:rFonts w:eastAsia="仿宋_GB2312"/>
          <w:sz w:val="32"/>
          <w:szCs w:val="32"/>
        </w:rPr>
        <w:t>基层水管单位能力建设项目实行项目库管理，由县级水利部门按要求选定实施项目并编写实施方案，报市级水利部门审批，市级批复后将有关资料报省级备案。项目由各乡镇水利站负责实施，其中仪器、办公设备及防汛物资通过政府集中采购程序购置，土建部分依据投资额度采取招投标或委托方式，由专业施工队伍建设。项目建成后，由县级水利部门组织验收。</w:t>
      </w:r>
    </w:p>
    <w:p>
      <w:pPr>
        <w:pStyle w:val="2"/>
        <w:keepNext w:val="0"/>
        <w:keepLines w:val="0"/>
        <w:spacing w:before="0" w:after="0" w:line="600" w:lineRule="exact"/>
        <w:ind w:firstLine="643" w:firstLineChars="200"/>
        <w:rPr>
          <w:szCs w:val="32"/>
        </w:rPr>
      </w:pPr>
      <w:bookmarkStart w:id="30" w:name="_Toc512350719"/>
      <w:bookmarkStart w:id="31" w:name="_Toc511115258"/>
      <w:r>
        <w:rPr>
          <w:szCs w:val="32"/>
        </w:rPr>
        <w:t>三、项目任务完成情况</w:t>
      </w:r>
      <w:bookmarkEnd w:id="30"/>
      <w:bookmarkEnd w:id="31"/>
    </w:p>
    <w:p>
      <w:pPr>
        <w:spacing w:line="600" w:lineRule="exact"/>
        <w:ind w:firstLine="643" w:firstLineChars="200"/>
        <w:rPr>
          <w:rFonts w:eastAsia="楷体_GB2312"/>
          <w:b/>
          <w:sz w:val="32"/>
          <w:szCs w:val="32"/>
        </w:rPr>
      </w:pPr>
      <w:r>
        <w:rPr>
          <w:rFonts w:eastAsia="楷体_GB2312"/>
          <w:b/>
          <w:sz w:val="32"/>
          <w:szCs w:val="32"/>
        </w:rPr>
        <w:t>（一）基层水管单位能力建设补助项目</w:t>
      </w:r>
    </w:p>
    <w:p>
      <w:pPr>
        <w:spacing w:line="60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52096" behindDoc="0" locked="0" layoutInCell="1" allowOverlap="1">
                <wp:simplePos x="0" y="0"/>
                <wp:positionH relativeFrom="column">
                  <wp:posOffset>-2091055</wp:posOffset>
                </wp:positionH>
                <wp:positionV relativeFrom="paragraph">
                  <wp:posOffset>2071370</wp:posOffset>
                </wp:positionV>
                <wp:extent cx="1510665" cy="403860"/>
                <wp:effectExtent l="0" t="0" r="0" b="0"/>
                <wp:wrapNone/>
                <wp:docPr id="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11664" cy="55179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rPr>
                                <w:rFonts w:ascii="黑体" w:hAnsi="黑体" w:eastAsia="黑体"/>
                                <w:sz w:val="18"/>
                              </w:rPr>
                            </w:pPr>
                            <w:r>
                              <w:rPr>
                                <w:rFonts w:hint="eastAsia" w:ascii="黑体" w:hAnsi="黑体" w:eastAsia="黑体"/>
                                <w:sz w:val="18"/>
                              </w:rPr>
                              <w:t>南县明山水管站</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64.65pt;margin-top:163.1pt;height:31.8pt;width:118.95pt;z-index:251652096;mso-width-relative:page;mso-height-relative:page;" filled="f" stroked="f" coordsize="21600,21600" o:gfxdata="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GNtmjZAAAADAEAAA8AAAAAAAAAAQAgAAAAIgAAAGRycy9kb3ducmV2&#10;LnhtbFBLAQIUABQAAAAIAIdO4kALQ98B+wEAAMoDAAAOAAAAAAAAAAEAIAAAACgBAABkcnMvZTJv&#10;RG9jLnhtbFBLBQYAAAAABgAGAFkBAACVBQAAAAA=&#10;">
                <v:fill on="f" focussize="0,0"/>
                <v:stroke on="f"/>
                <v:imagedata o:title=""/>
                <o:lock v:ext="edit" aspectratio="f"/>
                <v:textbox>
                  <w:txbxContent>
                    <w:p>
                      <w:pPr>
                        <w:rPr>
                          <w:rFonts w:ascii="黑体" w:hAnsi="黑体" w:eastAsia="黑体"/>
                          <w:sz w:val="18"/>
                        </w:rPr>
                      </w:pPr>
                      <w:r>
                        <w:rPr>
                          <w:rFonts w:hint="eastAsia" w:ascii="黑体" w:hAnsi="黑体" w:eastAsia="黑体"/>
                          <w:sz w:val="18"/>
                        </w:rPr>
                        <w:t>南县明山水管站</w:t>
                      </w:r>
                    </w:p>
                  </w:txbxContent>
                </v:textbox>
              </v:shape>
            </w:pict>
          </mc:Fallback>
        </mc:AlternateContent>
      </w:r>
      <w:r>
        <w:rPr>
          <w:rFonts w:eastAsia="仿宋_GB2312"/>
          <w:sz w:val="32"/>
          <w:szCs w:val="32"/>
        </w:rPr>
        <w:drawing>
          <wp:anchor distT="0" distB="0" distL="114300" distR="114300" simplePos="0" relativeHeight="251649024" behindDoc="1" locked="0" layoutInCell="1" allowOverlap="1">
            <wp:simplePos x="0" y="0"/>
            <wp:positionH relativeFrom="margin">
              <wp:align>left</wp:align>
            </wp:positionH>
            <wp:positionV relativeFrom="paragraph">
              <wp:posOffset>82550</wp:posOffset>
            </wp:positionV>
            <wp:extent cx="2771140" cy="2077720"/>
            <wp:effectExtent l="0" t="0" r="0" b="0"/>
            <wp:wrapTight wrapText="bothSides">
              <wp:wrapPolygon>
                <wp:start x="0" y="0"/>
                <wp:lineTo x="0" y="21389"/>
                <wp:lineTo x="21382" y="21389"/>
                <wp:lineTo x="21382"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12519" cy="2108846"/>
                    </a:xfrm>
                    <a:prstGeom prst="rect">
                      <a:avLst/>
                    </a:prstGeom>
                    <a:noFill/>
                    <a:ln>
                      <a:noFill/>
                    </a:ln>
                  </pic:spPr>
                </pic:pic>
              </a:graphicData>
            </a:graphic>
          </wp:anchor>
        </w:drawing>
      </w:r>
      <w:r>
        <w:rPr>
          <w:rFonts w:eastAsia="仿宋_GB2312"/>
          <w:sz w:val="32"/>
          <w:szCs w:val="32"/>
        </w:rPr>
        <w:t>截至201</w:t>
      </w:r>
      <w:r>
        <w:rPr>
          <w:rFonts w:eastAsia="仿宋_GB2312"/>
          <w:bCs/>
          <w:sz w:val="32"/>
          <w:szCs w:val="32"/>
        </w:rPr>
        <w:t>8</w:t>
      </w:r>
      <w:r>
        <w:rPr>
          <w:rFonts w:eastAsia="仿宋_GB2312"/>
          <w:sz w:val="32"/>
          <w:szCs w:val="32"/>
        </w:rPr>
        <w:t>年3月</w:t>
      </w:r>
      <w:r>
        <w:rPr>
          <w:rFonts w:eastAsia="仿宋_GB2312"/>
          <w:bCs/>
          <w:sz w:val="32"/>
          <w:szCs w:val="32"/>
        </w:rPr>
        <w:t>，全省基层水管单位能力建设项目2017年度主要建设内容已基本完工，主要完成站房改造17559平方米，技术装备购置供1766台套，管理制度建设和完善共926个，开展技术培训共3589人次等。</w:t>
      </w:r>
    </w:p>
    <w:p>
      <w:pPr>
        <w:spacing w:line="600" w:lineRule="exact"/>
        <w:ind w:firstLine="643" w:firstLineChars="200"/>
        <w:rPr>
          <w:rFonts w:eastAsia="楷体_GB2312"/>
          <w:b/>
          <w:sz w:val="32"/>
          <w:szCs w:val="32"/>
        </w:rPr>
      </w:pPr>
      <w:r>
        <w:rPr>
          <w:rFonts w:eastAsia="楷体_GB2312"/>
          <w:b/>
          <w:sz w:val="32"/>
          <w:szCs w:val="32"/>
        </w:rPr>
        <w:t>（二）农田水利综合改革试点资金和省级小型农田水利建设项目</w:t>
      </w:r>
    </w:p>
    <w:p>
      <w:pPr>
        <w:spacing w:line="600" w:lineRule="exact"/>
        <w:ind w:firstLine="640" w:firstLineChars="200"/>
        <w:rPr>
          <w:rFonts w:eastAsia="仿宋_GB2312"/>
          <w:sz w:val="32"/>
          <w:szCs w:val="32"/>
        </w:rPr>
      </w:pPr>
      <w:r>
        <w:rPr>
          <w:rFonts w:eastAsia="仿宋_GB2312"/>
          <w:sz w:val="32"/>
          <w:szCs w:val="32"/>
        </w:rPr>
        <w:t>截至201</w:t>
      </w:r>
      <w:r>
        <w:rPr>
          <w:rFonts w:eastAsia="仿宋_GB2312"/>
          <w:bCs/>
          <w:sz w:val="32"/>
          <w:szCs w:val="32"/>
        </w:rPr>
        <w:t>8</w:t>
      </w:r>
      <w:r>
        <w:rPr>
          <w:rFonts w:eastAsia="仿宋_GB2312"/>
          <w:sz w:val="32"/>
          <w:szCs w:val="32"/>
        </w:rPr>
        <w:t>年3月</w:t>
      </w:r>
      <w:r>
        <w:rPr>
          <w:rFonts w:eastAsia="仿宋_GB2312"/>
          <w:bCs/>
          <w:sz w:val="32"/>
          <w:szCs w:val="32"/>
        </w:rPr>
        <w:t>，</w:t>
      </w:r>
      <w:r>
        <w:rPr>
          <w:rFonts w:eastAsia="仿宋_GB2312"/>
          <w:sz w:val="32"/>
          <w:szCs w:val="32"/>
        </w:rPr>
        <w:t>全省8个小型农田水利项目县2017年度主要建设内容已基本完工，实际新增高效节水面积14832.30亩，维修养护渠道92.76公里，渠系建筑物579处，整治山塘29处，新建和改造泵站21座，维修养护水库9座。</w:t>
      </w:r>
    </w:p>
    <w:p>
      <w:pPr>
        <w:spacing w:line="600" w:lineRule="exact"/>
        <w:ind w:firstLine="643" w:firstLineChars="200"/>
        <w:rPr>
          <w:rFonts w:eastAsia="楷体_GB2312"/>
          <w:b/>
          <w:sz w:val="32"/>
          <w:szCs w:val="32"/>
        </w:rPr>
      </w:pPr>
      <w:r>
        <w:rPr>
          <w:rFonts w:eastAsia="楷体_GB2312"/>
          <w:b/>
          <w:sz w:val="32"/>
          <w:szCs w:val="32"/>
        </w:rPr>
        <w:t>（三）农业水价综合改革项目</w:t>
      </w:r>
    </w:p>
    <w:p>
      <w:pPr>
        <w:widowControl/>
        <w:spacing w:line="600" w:lineRule="exact"/>
        <w:ind w:firstLine="640" w:firstLineChars="200"/>
        <w:rPr>
          <w:rFonts w:eastAsia="仿宋_GB2312"/>
          <w:bCs/>
          <w:sz w:val="32"/>
          <w:szCs w:val="32"/>
        </w:rPr>
      </w:pPr>
      <w:r>
        <w:rPr>
          <w:rFonts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-2726055</wp:posOffset>
                </wp:positionH>
                <wp:positionV relativeFrom="paragraph">
                  <wp:posOffset>2462530</wp:posOffset>
                </wp:positionV>
                <wp:extent cx="2688590" cy="307340"/>
                <wp:effectExtent l="0" t="0" r="0" b="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85090" cy="50449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rPr>
                                <w:rFonts w:ascii="黑体" w:hAnsi="黑体" w:eastAsia="黑体"/>
                                <w:sz w:val="16"/>
                              </w:rPr>
                            </w:pPr>
                            <w:r>
                              <w:rPr>
                                <w:rFonts w:hint="eastAsia" w:ascii="黑体" w:hAnsi="黑体" w:eastAsia="黑体"/>
                                <w:sz w:val="16"/>
                              </w:rPr>
                              <w:t>现场查勘安仁县农业水价综合改革试点工程</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4.65pt;margin-top:193.9pt;height:24.2pt;width:211.7pt;z-index:251661312;mso-width-relative:page;mso-height-relative:page;" filled="f" stroked="f" coordsize="21600,21600" o:gfxdata="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xubf2QAAAAsBAAAPAAAAAAAAAAEAIAAAACIAAABkcnMvZG93bnJldi54&#10;bWxQSwECFAAUAAAACACHTuJAZHsw3/kBAADJAwAADgAAAAAAAAABACAAAAAoAQAAZHJzL2Uyb0Rv&#10;Yy54bWxQSwUGAAAAAAYABgBZAQAAkwUAAAAA&#10;">
                <v:fill on="f" focussize="0,0"/>
                <v:stroke on="f"/>
                <v:imagedata o:title=""/>
                <o:lock v:ext="edit" aspectratio="f"/>
                <v:textbox>
                  <w:txbxContent>
                    <w:p>
                      <w:pPr>
                        <w:rPr>
                          <w:rFonts w:ascii="黑体" w:hAnsi="黑体" w:eastAsia="黑体"/>
                          <w:sz w:val="16"/>
                        </w:rPr>
                      </w:pPr>
                      <w:r>
                        <w:rPr>
                          <w:rFonts w:hint="eastAsia" w:ascii="黑体" w:hAnsi="黑体" w:eastAsia="黑体"/>
                          <w:sz w:val="16"/>
                        </w:rPr>
                        <w:t>现场查勘安仁县农业水价综合改革试点工程</w:t>
                      </w:r>
                    </w:p>
                    <w:p/>
                  </w:txbxContent>
                </v:textbox>
              </v:shape>
            </w:pict>
          </mc:Fallback>
        </mc:AlternateContent>
      </w:r>
      <w:r>
        <w:rPr>
          <w:rFonts w:eastAsia="仿宋_GB2312"/>
          <w:sz w:val="32"/>
          <w:szCs w:val="32"/>
        </w:rPr>
        <w:t>截至201</w:t>
      </w:r>
      <w:r>
        <w:rPr>
          <w:rFonts w:eastAsia="仿宋_GB2312"/>
          <w:bCs/>
          <w:sz w:val="32"/>
          <w:szCs w:val="32"/>
        </w:rPr>
        <w:t>8</w:t>
      </w:r>
      <w:r>
        <w:rPr>
          <w:rFonts w:eastAsia="仿宋_GB2312"/>
          <w:sz w:val="32"/>
          <w:szCs w:val="32"/>
        </w:rPr>
        <w:t>年3月</w:t>
      </w:r>
      <w:r>
        <w:rPr>
          <w:rFonts w:eastAsia="仿宋_GB2312"/>
          <w:bCs/>
          <w:sz w:val="32"/>
          <w:szCs w:val="32"/>
        </w:rPr>
        <w:t>，</w:t>
      </w:r>
      <w:r>
        <w:rPr>
          <w:rFonts w:eastAsia="仿宋_GB2312"/>
          <w:sz w:val="32"/>
          <w:szCs w:val="32"/>
        </w:rPr>
        <w:t>湖南省2017年度农业水价综合改革试点完成投资3861.23万元，覆盖灌区面积13.75万亩</w:t>
      </w:r>
      <w:r>
        <w:rPr>
          <w:rFonts w:eastAsia="仿宋_GB2312"/>
          <w:bCs/>
          <w:sz w:val="32"/>
          <w:szCs w:val="32"/>
        </w:rPr>
        <w:t>，完成信息化建设51处，</w:t>
      </w:r>
      <w:r>
        <w:rPr>
          <w:rFonts w:eastAsia="仿宋_GB2312"/>
          <w:sz w:val="32"/>
          <w:szCs w:val="32"/>
        </w:rPr>
        <w:t>计量设施建设280处</w:t>
      </w:r>
      <w:r>
        <w:rPr>
          <w:rFonts w:eastAsia="仿宋_GB2312"/>
          <w:bCs/>
          <w:sz w:val="32"/>
          <w:szCs w:val="32"/>
        </w:rPr>
        <w:t>，</w:t>
      </w:r>
      <w:r>
        <w:rPr>
          <w:rFonts w:eastAsia="仿宋_GB2312"/>
          <w:sz w:val="32"/>
          <w:szCs w:val="32"/>
        </w:rPr>
        <w:t>山塘整修等水源点建设</w:t>
      </w:r>
      <w:r>
        <w:rPr>
          <w:rFonts w:eastAsia="仿宋_GB2312"/>
          <w:bCs/>
          <w:sz w:val="32"/>
          <w:szCs w:val="32"/>
        </w:rPr>
        <w:t>16处，</w:t>
      </w:r>
      <w:r>
        <w:rPr>
          <w:rFonts w:eastAsia="仿宋_GB2312"/>
          <w:sz w:val="32"/>
          <w:szCs w:val="32"/>
        </w:rPr>
        <w:t>渠道管道及配套设施更新改造</w:t>
      </w:r>
      <w:r>
        <w:rPr>
          <w:rFonts w:eastAsia="仿宋_GB2312"/>
          <w:bCs/>
          <w:sz w:val="32"/>
          <w:szCs w:val="32"/>
        </w:rPr>
        <w:t>共</w:t>
      </w:r>
      <w:r>
        <w:rPr>
          <w:rFonts w:eastAsia="仿宋_GB2312"/>
          <w:sz w:val="32"/>
          <w:szCs w:val="32"/>
        </w:rPr>
        <w:t>128.78</w:t>
      </w:r>
      <w:r>
        <w:rPr>
          <w:rFonts w:eastAsia="仿宋_GB2312"/>
          <w:bCs/>
          <w:sz w:val="32"/>
          <w:szCs w:val="32"/>
        </w:rPr>
        <w:t>千米，</w:t>
      </w:r>
      <w:r>
        <w:rPr>
          <w:rFonts w:eastAsia="仿宋_GB2312"/>
          <w:sz w:val="32"/>
          <w:szCs w:val="32"/>
        </w:rPr>
        <w:t>农民用水户协会</w:t>
      </w:r>
      <w:r>
        <w:rPr>
          <w:rFonts w:eastAsia="仿宋_GB2312"/>
          <w:sz w:val="32"/>
          <w:szCs w:val="32"/>
        </w:rPr>
        <w:drawing>
          <wp:anchor distT="0" distB="0" distL="114300" distR="114300" simplePos="0" relativeHeight="251653120" behindDoc="1" locked="0" layoutInCell="1" allowOverlap="1">
            <wp:simplePos x="0" y="0"/>
            <wp:positionH relativeFrom="margin">
              <wp:posOffset>5080</wp:posOffset>
            </wp:positionH>
            <wp:positionV relativeFrom="paragraph">
              <wp:posOffset>222250</wp:posOffset>
            </wp:positionV>
            <wp:extent cx="3037840" cy="2274570"/>
            <wp:effectExtent l="0" t="0" r="0" b="0"/>
            <wp:wrapTight wrapText="bothSides">
              <wp:wrapPolygon>
                <wp:start x="0" y="0"/>
                <wp:lineTo x="0" y="21347"/>
                <wp:lineTo x="21401" y="21347"/>
                <wp:lineTo x="21401"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37840" cy="2274570"/>
                    </a:xfrm>
                    <a:prstGeom prst="rect">
                      <a:avLst/>
                    </a:prstGeom>
                    <a:noFill/>
                    <a:ln>
                      <a:noFill/>
                    </a:ln>
                  </pic:spPr>
                </pic:pic>
              </a:graphicData>
            </a:graphic>
          </wp:anchor>
        </w:drawing>
      </w:r>
      <w:r>
        <w:rPr>
          <w:rFonts w:eastAsia="仿宋_GB2312"/>
          <w:sz w:val="32"/>
          <w:szCs w:val="32"/>
        </w:rPr>
        <w:t>能力建设</w:t>
      </w:r>
      <w:r>
        <w:rPr>
          <w:rFonts w:eastAsia="仿宋_GB2312"/>
          <w:bCs/>
          <w:sz w:val="32"/>
          <w:szCs w:val="32"/>
        </w:rPr>
        <w:t>31处，</w:t>
      </w:r>
      <w:r>
        <w:rPr>
          <w:rFonts w:eastAsia="仿宋_GB2312"/>
          <w:sz w:val="32"/>
          <w:szCs w:val="32"/>
        </w:rPr>
        <w:t>示范区节水奖励及精准补贴</w:t>
      </w:r>
      <w:r>
        <w:rPr>
          <w:rFonts w:eastAsia="仿宋_GB2312"/>
          <w:bCs/>
          <w:sz w:val="32"/>
          <w:szCs w:val="32"/>
        </w:rPr>
        <w:t>完成55万，</w:t>
      </w:r>
      <w:r>
        <w:rPr>
          <w:rFonts w:eastAsia="仿宋_GB2312"/>
          <w:sz w:val="32"/>
          <w:szCs w:val="32"/>
        </w:rPr>
        <w:t>基本完成目标任务量。具体来看，2017年安排的10个农业水价综合改革试点项目中，宁乡市（黄材灌区）、攸县、茶陵县、澧县、安化县、涟源市，均已全部甚至超额完成改革计划任务。绥宁县、安仁县已基本完成改革计划任务。岳阳县（铁山灌区）因财政评审项目资金被核减，怀化鹤城区因信息化设备安装未完成，部分改革任务尚未完成。</w:t>
      </w:r>
    </w:p>
    <w:p>
      <w:pPr>
        <w:spacing w:line="600" w:lineRule="exact"/>
        <w:ind w:firstLine="643" w:firstLineChars="200"/>
        <w:rPr>
          <w:rFonts w:eastAsia="楷体_GB2312"/>
          <w:b/>
          <w:sz w:val="32"/>
          <w:szCs w:val="32"/>
        </w:rPr>
      </w:pPr>
      <w:r>
        <w:rPr>
          <w:rFonts w:eastAsia="楷体_GB2312"/>
          <w:b/>
          <w:sz w:val="32"/>
          <w:szCs w:val="32"/>
        </w:rPr>
        <w:t>（四）</w:t>
      </w:r>
      <w:bookmarkStart w:id="32" w:name="_Hlk511112559"/>
      <w:r>
        <w:rPr>
          <w:rFonts w:eastAsia="楷体_GB2312"/>
          <w:b/>
          <w:sz w:val="32"/>
          <w:szCs w:val="32"/>
        </w:rPr>
        <w:t>莽山水库工程省级配套等省级水利</w:t>
      </w:r>
      <w:bookmarkEnd w:id="32"/>
      <w:r>
        <w:rPr>
          <w:rFonts w:eastAsia="楷体_GB2312"/>
          <w:b/>
          <w:sz w:val="32"/>
          <w:szCs w:val="32"/>
        </w:rPr>
        <w:t>项目</w:t>
      </w:r>
    </w:p>
    <w:p>
      <w:pPr>
        <w:spacing w:line="600" w:lineRule="exact"/>
        <w:ind w:firstLine="640" w:firstLineChars="200"/>
        <w:rPr>
          <w:rFonts w:eastAsia="仿宋_GB2312"/>
          <w:sz w:val="32"/>
          <w:szCs w:val="32"/>
        </w:rPr>
      </w:pPr>
      <w:r>
        <w:rPr>
          <w:rFonts w:eastAsia="仿宋_GB2312"/>
          <w:sz w:val="32"/>
          <w:szCs w:val="32"/>
        </w:rPr>
        <w:t>截至201</w:t>
      </w:r>
      <w:r>
        <w:rPr>
          <w:rFonts w:eastAsia="仿宋_GB2312"/>
          <w:bCs/>
          <w:sz w:val="32"/>
          <w:szCs w:val="32"/>
        </w:rPr>
        <w:t>8</w:t>
      </w:r>
      <w:r>
        <w:rPr>
          <w:rFonts w:eastAsia="仿宋_GB2312"/>
          <w:sz w:val="32"/>
          <w:szCs w:val="32"/>
        </w:rPr>
        <w:t>年3月</w:t>
      </w:r>
      <w:r>
        <w:rPr>
          <w:rFonts w:eastAsia="仿宋_GB2312"/>
          <w:bCs/>
          <w:sz w:val="32"/>
          <w:szCs w:val="32"/>
        </w:rPr>
        <w:t>，</w:t>
      </w:r>
      <w:r>
        <w:rPr>
          <w:rFonts w:hint="eastAsia" w:ascii="宋体" w:hAnsi="宋体" w:eastAsia="宋体" w:cs="宋体"/>
          <w:sz w:val="32"/>
          <w:szCs w:val="32"/>
        </w:rPr>
        <w:t>①</w:t>
      </w:r>
      <w:r>
        <w:rPr>
          <w:rFonts w:eastAsia="仿宋_GB2312"/>
          <w:sz w:val="32"/>
          <w:szCs w:val="32"/>
        </w:rPr>
        <w:t>莽山水库工程已安装引水发电隧洞压力钢管，坝内部分正同步安装，发电厂房浇筑到321.2米高程，机组设备正同步安装。左干渠开工建设18公里，右干渠开工建设27公里，其中明渠开工32处，渡槽开工3处长，隧洞开工9条，贯通3条1630米，倒虹吸开工1处长2.5公里。征地已完成4189.7亩。租地已完成289.5亩，且征（租）地均满足施工需求。</w:t>
      </w:r>
      <w:r>
        <w:rPr>
          <w:rFonts w:hint="eastAsia" w:ascii="宋体" w:hAnsi="宋体" w:eastAsia="宋体" w:cs="宋体"/>
          <w:sz w:val="32"/>
          <w:szCs w:val="32"/>
        </w:rPr>
        <w:t>②</w:t>
      </w:r>
      <w:r>
        <w:rPr>
          <w:rFonts w:eastAsia="仿宋_GB2312"/>
          <w:sz w:val="32"/>
          <w:szCs w:val="32"/>
        </w:rPr>
        <w:t>毛俊水库工程已完成淹没补偿及移民征地拆迁补偿5000万元，支付勘测设计费3000万元；</w:t>
      </w:r>
      <w:r>
        <w:rPr>
          <w:rFonts w:hint="eastAsia" w:ascii="宋体" w:hAnsi="宋体" w:eastAsia="宋体" w:cs="宋体"/>
          <w:sz w:val="32"/>
          <w:szCs w:val="32"/>
        </w:rPr>
        <w:t>③</w:t>
      </w:r>
      <w:r>
        <w:rPr>
          <w:rFonts w:eastAsia="仿宋_GB2312"/>
          <w:sz w:val="32"/>
          <w:szCs w:val="32"/>
        </w:rPr>
        <w:t>黄盖湖防洪</w:t>
      </w:r>
      <w:r>
        <w:rPr>
          <w:rFonts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-3041650</wp:posOffset>
                </wp:positionH>
                <wp:positionV relativeFrom="paragraph">
                  <wp:posOffset>3941445</wp:posOffset>
                </wp:positionV>
                <wp:extent cx="2583815" cy="499745"/>
                <wp:effectExtent l="0" t="0" r="0" b="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83712" cy="499731"/>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rPr>
                                <w:sz w:val="28"/>
                              </w:rPr>
                            </w:pPr>
                            <w:r>
                              <w:rPr>
                                <w:rFonts w:hint="eastAsia" w:ascii="黑体" w:hAnsi="黑体" w:eastAsia="黑体"/>
                                <w:sz w:val="18"/>
                              </w:rPr>
                              <w:t>现场查勘宜章县莽山水库枢纽工程</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9.5pt;margin-top:310.35pt;height:39.35pt;width:203.45pt;z-index:251664384;mso-width-relative:page;mso-height-relative:page;" filled="f" stroked="f" coordsize="21600,21600" o:gfxdata="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H2CFNkAAAAMAQAADwAAAAAAAAABACAAAAAiAAAAZHJzL2Rvd25yZXYu&#10;eG1sUEsBAhQAFAAAAAgAh07iQNU2L5r6AQAAygMAAA4AAAAAAAAAAQAgAAAAKAEAAGRycy9lMm9E&#10;b2MueG1sUEsFBgAAAAAGAAYAWQEAAJQFAAAAAA==&#10;">
                <v:fill on="f" focussize="0,0"/>
                <v:stroke on="f"/>
                <v:imagedata o:title=""/>
                <o:lock v:ext="edit" aspectratio="f"/>
                <v:textbox>
                  <w:txbxContent>
                    <w:p>
                      <w:pPr>
                        <w:rPr>
                          <w:sz w:val="28"/>
                        </w:rPr>
                      </w:pPr>
                      <w:r>
                        <w:rPr>
                          <w:rFonts w:hint="eastAsia" w:ascii="黑体" w:hAnsi="黑体" w:eastAsia="黑体"/>
                          <w:sz w:val="18"/>
                        </w:rPr>
                        <w:t>现场查勘宜章县莽山水库枢纽工程</w:t>
                      </w:r>
                    </w:p>
                  </w:txbxContent>
                </v:textbox>
              </v:shape>
            </w:pict>
          </mc:Fallback>
        </mc:AlternateContent>
      </w:r>
      <w:r>
        <w:rPr>
          <w:rFonts w:eastAsia="仿宋_GB2312"/>
          <w:sz w:val="32"/>
          <w:szCs w:val="32"/>
        </w:rPr>
        <w:t>治理工程已完成堤防加高培厚长度22.15公里，护岸工程1.64 公里，雷诺护坡12.13公里，堤身隐患处理5.4公里，堤基防渗处理2.8公里，填塘固基9.6公里，堤顶防汛公路22.15 公里，重（改）建穿堤建筑物15座（其中新</w:t>
      </w:r>
      <w:r>
        <w:rPr>
          <w:rFonts w:eastAsia="仿宋_GB2312"/>
          <w:sz w:val="32"/>
          <w:szCs w:val="32"/>
        </w:rPr>
        <w:drawing>
          <wp:anchor distT="0" distB="0" distL="114300" distR="114300" simplePos="0" relativeHeight="251655168" behindDoc="1" locked="0" layoutInCell="1" allowOverlap="1">
            <wp:simplePos x="0" y="0"/>
            <wp:positionH relativeFrom="margin">
              <wp:posOffset>-85725</wp:posOffset>
            </wp:positionH>
            <wp:positionV relativeFrom="paragraph">
              <wp:posOffset>2125345</wp:posOffset>
            </wp:positionV>
            <wp:extent cx="3542030" cy="2632710"/>
            <wp:effectExtent l="0" t="0" r="127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42030" cy="2632710"/>
                    </a:xfrm>
                    <a:prstGeom prst="rect">
                      <a:avLst/>
                    </a:prstGeom>
                    <a:noFill/>
                    <a:ln>
                      <a:noFill/>
                    </a:ln>
                  </pic:spPr>
                </pic:pic>
              </a:graphicData>
            </a:graphic>
          </wp:anchor>
        </w:drawing>
      </w:r>
      <w:r>
        <w:rPr>
          <w:rFonts w:eastAsia="仿宋_GB2312"/>
          <w:sz w:val="32"/>
          <w:szCs w:val="32"/>
        </w:rPr>
        <w:t>建电排6处），分洪闸1处。拆迁内坡30米范围内房屋195户29250平方米，新建集中安置点2处，占地240亩，集中新建房屋166户；</w:t>
      </w:r>
      <w:bookmarkStart w:id="33" w:name="_Hlk511403305"/>
      <w:r>
        <w:rPr>
          <w:rFonts w:hint="eastAsia" w:ascii="宋体" w:hAnsi="宋体" w:eastAsia="宋体" w:cs="宋体"/>
          <w:sz w:val="32"/>
          <w:szCs w:val="32"/>
        </w:rPr>
        <w:t>④</w:t>
      </w:r>
      <w:r>
        <w:rPr>
          <w:rFonts w:eastAsia="仿宋_GB2312"/>
          <w:sz w:val="32"/>
          <w:szCs w:val="32"/>
        </w:rPr>
        <w:t>钱粮湖、共双茶、大通湖东垸三垸</w:t>
      </w:r>
      <w:bookmarkEnd w:id="33"/>
      <w:r>
        <w:rPr>
          <w:rFonts w:eastAsia="仿宋_GB2312"/>
          <w:sz w:val="32"/>
          <w:szCs w:val="32"/>
        </w:rPr>
        <w:t>蓄洪安全建设一期工程已完成新堤土方填筑300万方，防渗墙、新建涵闸、新建堤防基础处理等工程；</w:t>
      </w:r>
      <w:r>
        <w:rPr>
          <w:rFonts w:hint="eastAsia" w:ascii="宋体" w:hAnsi="宋体" w:eastAsia="宋体" w:cs="宋体"/>
          <w:sz w:val="32"/>
          <w:szCs w:val="32"/>
        </w:rPr>
        <w:t>⑤</w:t>
      </w:r>
      <w:r>
        <w:rPr>
          <w:rFonts w:eastAsia="仿宋_GB2312"/>
          <w:sz w:val="32"/>
          <w:szCs w:val="32"/>
        </w:rPr>
        <w:t>钱粮湖、共双茶、大通湖东垸三垸分洪闸工程建设完成项目征地拆迁、营地建设、砂石备料8万方，移动土方8万方，完成浆砌石0.7万方，搅拌桩施工21万米等。</w:t>
      </w:r>
    </w:p>
    <w:p>
      <w:pPr>
        <w:spacing w:line="600" w:lineRule="exact"/>
        <w:ind w:firstLine="643" w:firstLineChars="200"/>
        <w:rPr>
          <w:rFonts w:eastAsia="楷体_GB2312"/>
          <w:b/>
          <w:sz w:val="32"/>
          <w:szCs w:val="32"/>
        </w:rPr>
      </w:pPr>
      <w:r>
        <w:rPr>
          <w:rFonts w:eastAsia="楷体_GB2312"/>
          <w:b/>
          <w:sz w:val="32"/>
          <w:szCs w:val="32"/>
        </w:rPr>
        <w:t>（五）涔天河水库建设项目</w:t>
      </w:r>
    </w:p>
    <w:p>
      <w:pPr>
        <w:spacing w:line="600" w:lineRule="exact"/>
        <w:ind w:firstLine="640" w:firstLineChars="200"/>
        <w:rPr>
          <w:rFonts w:eastAsia="仿宋_GB2312"/>
          <w:bCs/>
          <w:sz w:val="32"/>
          <w:szCs w:val="32"/>
        </w:rPr>
      </w:pPr>
      <w:r>
        <w:rPr>
          <w:rFonts w:eastAsia="仿宋_GB2312"/>
          <w:sz w:val="32"/>
          <w:szCs w:val="32"/>
        </w:rPr>
        <w:t>截至201</w:t>
      </w:r>
      <w:r>
        <w:rPr>
          <w:rFonts w:eastAsia="仿宋_GB2312"/>
          <w:bCs/>
          <w:sz w:val="32"/>
          <w:szCs w:val="32"/>
        </w:rPr>
        <w:t>8</w:t>
      </w:r>
      <w:r>
        <w:rPr>
          <w:rFonts w:eastAsia="仿宋_GB2312"/>
          <w:sz w:val="32"/>
          <w:szCs w:val="32"/>
        </w:rPr>
        <w:t>年3月</w:t>
      </w:r>
      <w:r>
        <w:rPr>
          <w:rFonts w:eastAsia="仿宋_GB2312"/>
          <w:bCs/>
          <w:sz w:val="32"/>
          <w:szCs w:val="32"/>
        </w:rPr>
        <w:t>，</w:t>
      </w:r>
      <w:r>
        <w:rPr>
          <w:rFonts w:eastAsia="仿宋_GB2312"/>
          <w:sz w:val="32"/>
          <w:szCs w:val="32"/>
        </w:rPr>
        <w:t>2017年涔天河水库建设计划混凝土面板堆石坝二期面板、坝顶防浪墙、坝顶公路已完工，1#泄洪洞和 2#泄洪洞、引水发电洞完工，4台机组安装完工，完成移民安置点建房和库区剩余人口的搬迁安置任务；完成安置点基础设施的建设；完成库区电力、通信、水文、广播电视、文物等专项设施的复建工作。</w:t>
      </w:r>
    </w:p>
    <w:p>
      <w:pPr>
        <w:pStyle w:val="2"/>
        <w:keepNext w:val="0"/>
        <w:keepLines w:val="0"/>
        <w:spacing w:before="0" w:after="0" w:line="600" w:lineRule="exact"/>
        <w:ind w:firstLine="643" w:firstLineChars="200"/>
        <w:rPr>
          <w:szCs w:val="32"/>
        </w:rPr>
      </w:pPr>
      <w:bookmarkStart w:id="34" w:name="_Toc511115259"/>
      <w:bookmarkStart w:id="35" w:name="_Toc512350720"/>
      <w:r>
        <w:rPr>
          <w:szCs w:val="32"/>
        </w:rPr>
        <w:t>四、绩效评价工作情况</w:t>
      </w:r>
      <w:bookmarkEnd w:id="34"/>
      <w:bookmarkEnd w:id="35"/>
    </w:p>
    <w:p>
      <w:pPr>
        <w:pStyle w:val="3"/>
        <w:keepNext w:val="0"/>
        <w:keepLines w:val="0"/>
        <w:spacing w:line="600" w:lineRule="exact"/>
        <w:ind w:firstLine="643" w:firstLineChars="200"/>
        <w:rPr>
          <w:rFonts w:ascii="Times New Roman" w:hAnsi="Times New Roman" w:eastAsia="楷体_GB2312" w:cs="Times New Roman"/>
        </w:rPr>
      </w:pPr>
      <w:bookmarkStart w:id="36" w:name="_Toc512350721"/>
      <w:bookmarkStart w:id="37" w:name="_Toc511115260"/>
      <w:r>
        <w:rPr>
          <w:rFonts w:ascii="Times New Roman" w:hAnsi="Times New Roman" w:eastAsia="楷体_GB2312" w:cs="Times New Roman"/>
        </w:rPr>
        <w:t>（一）绩效评价目的</w:t>
      </w:r>
      <w:bookmarkEnd w:id="36"/>
      <w:bookmarkEnd w:id="37"/>
    </w:p>
    <w:p>
      <w:pPr>
        <w:spacing w:line="600" w:lineRule="exact"/>
        <w:ind w:firstLine="640" w:firstLineChars="200"/>
        <w:rPr>
          <w:rFonts w:eastAsia="仿宋_GB2312"/>
          <w:sz w:val="32"/>
          <w:szCs w:val="32"/>
        </w:rPr>
      </w:pPr>
      <w:r>
        <w:rPr>
          <w:rFonts w:eastAsia="仿宋_GB2312"/>
          <w:sz w:val="32"/>
          <w:szCs w:val="32"/>
        </w:rPr>
        <w:t>通过开展重大水利工程建设专项资金绩效评价工作，及时发现项目的申报审批、项目建设管理、项目资金管理、工程建设成果及实施效果、工程验收及后期管护准备中的薄弱环节，及时改进、加强控制和管理，总结推广好的做法和经验，进一步推进项目顺利实施，规范项目建设管理，切实提高专项资金使用效率，充分发挥工程效益和投资效益。同时，通过对中央财政统筹资金的使用情况进行绩效评价，衡量项目资金的产出与绩效，了解、分析、检验项目是否达到预期目标，资金使用是否有效，为以后年度项目安排及资金管理提供重要依据。</w:t>
      </w:r>
    </w:p>
    <w:p>
      <w:pPr>
        <w:pStyle w:val="3"/>
        <w:keepNext w:val="0"/>
        <w:keepLines w:val="0"/>
        <w:spacing w:line="600" w:lineRule="exact"/>
        <w:ind w:firstLine="643" w:firstLineChars="200"/>
        <w:rPr>
          <w:rFonts w:ascii="Times New Roman" w:hAnsi="Times New Roman" w:eastAsia="楷体_GB2312" w:cs="Times New Roman"/>
        </w:rPr>
      </w:pPr>
      <w:bookmarkStart w:id="38" w:name="_Toc511115261"/>
      <w:bookmarkStart w:id="39" w:name="_Toc512350722"/>
      <w:r>
        <w:rPr>
          <w:rFonts w:ascii="Times New Roman" w:hAnsi="Times New Roman" w:eastAsia="楷体_GB2312" w:cs="Times New Roman"/>
        </w:rPr>
        <w:t>（二）绩效评价过程</w:t>
      </w:r>
      <w:bookmarkEnd w:id="38"/>
      <w:bookmarkEnd w:id="39"/>
    </w:p>
    <w:p>
      <w:pPr>
        <w:spacing w:line="60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-2935605</wp:posOffset>
                </wp:positionH>
                <wp:positionV relativeFrom="paragraph">
                  <wp:posOffset>2248535</wp:posOffset>
                </wp:positionV>
                <wp:extent cx="2701925" cy="283845"/>
                <wp:effectExtent l="0" t="0" r="0" b="1905"/>
                <wp:wrapNone/>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01636" cy="28384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jc w:val="center"/>
                              <w:rPr>
                                <w:sz w:val="32"/>
                              </w:rPr>
                            </w:pPr>
                            <w:r>
                              <w:rPr>
                                <w:rFonts w:hint="eastAsia" w:ascii="黑体" w:hAnsi="黑体" w:eastAsia="黑体"/>
                                <w:sz w:val="18"/>
                              </w:rPr>
                              <w:t>凤凰县小型农田水利工程</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1.15pt;margin-top:177.05pt;height:22.35pt;width:212.75pt;z-index:251659264;mso-width-relative:page;mso-height-relative:page;" filled="f" stroked="f" coordsize="21600,21600" o:gfxdata="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NmEp2QAAAAwBAAAPAAAAAAAAAAEAIAAAACIAAABkcnMvZG93bnJl&#10;di54bWxQSwECFAAUAAAACACHTuJACFUs6fwBAADKAwAADgAAAAAAAAABACAAAAAoAQAAZHJzL2Uy&#10;b0RvYy54bWxQSwUGAAAAAAYABgBZAQAAlgUAAAAA&#10;">
                <v:fill on="f" focussize="0,0"/>
                <v:stroke on="f"/>
                <v:imagedata o:title=""/>
                <o:lock v:ext="edit" aspectratio="f"/>
                <v:textbox>
                  <w:txbxContent>
                    <w:p>
                      <w:pPr>
                        <w:jc w:val="center"/>
                        <w:rPr>
                          <w:sz w:val="32"/>
                        </w:rPr>
                      </w:pPr>
                      <w:r>
                        <w:rPr>
                          <w:rFonts w:hint="eastAsia" w:ascii="黑体" w:hAnsi="黑体" w:eastAsia="黑体"/>
                          <w:sz w:val="18"/>
                        </w:rPr>
                        <w:t>凤凰县小型农田水利工程</w:t>
                      </w:r>
                    </w:p>
                  </w:txbxContent>
                </v:textbox>
              </v:shape>
            </w:pict>
          </mc:Fallback>
        </mc:AlternateContent>
      </w:r>
      <w:r>
        <w:rPr>
          <w:rFonts w:eastAsia="仿宋_GB2312"/>
          <w:kern w:val="0"/>
          <w:sz w:val="32"/>
          <w:szCs w:val="32"/>
        </w:rPr>
        <w:drawing>
          <wp:anchor distT="0" distB="0" distL="114300" distR="114300" simplePos="0" relativeHeight="251643904" behindDoc="1" locked="0" layoutInCell="1" allowOverlap="1">
            <wp:simplePos x="0" y="0"/>
            <wp:positionH relativeFrom="margin">
              <wp:posOffset>-36830</wp:posOffset>
            </wp:positionH>
            <wp:positionV relativeFrom="paragraph">
              <wp:posOffset>40005</wp:posOffset>
            </wp:positionV>
            <wp:extent cx="2912745" cy="2179320"/>
            <wp:effectExtent l="0" t="0" r="1905" b="0"/>
            <wp:wrapTight wrapText="bothSides">
              <wp:wrapPolygon>
                <wp:start x="0" y="0"/>
                <wp:lineTo x="0" y="21336"/>
                <wp:lineTo x="21473" y="21336"/>
                <wp:lineTo x="21473"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12745" cy="2179320"/>
                    </a:xfrm>
                    <a:prstGeom prst="rect">
                      <a:avLst/>
                    </a:prstGeom>
                    <a:noFill/>
                    <a:ln>
                      <a:noFill/>
                    </a:ln>
                  </pic:spPr>
                </pic:pic>
              </a:graphicData>
            </a:graphic>
          </wp:anchor>
        </w:drawing>
      </w:r>
      <w:r>
        <w:rPr>
          <w:rFonts w:eastAsia="仿宋_GB2312"/>
          <w:sz w:val="32"/>
          <w:szCs w:val="32"/>
        </w:rPr>
        <w:t>根据</w:t>
      </w:r>
      <w:r>
        <w:rPr>
          <w:rFonts w:eastAsia="仿宋_GB2312"/>
          <w:kern w:val="0"/>
          <w:sz w:val="32"/>
          <w:szCs w:val="32"/>
        </w:rPr>
        <w:t>《湖南省财政厅关于做好</w:t>
      </w:r>
      <w:r>
        <w:rPr>
          <w:rFonts w:eastAsia="仿宋_GB2312"/>
          <w:sz w:val="32"/>
          <w:szCs w:val="32"/>
        </w:rPr>
        <w:t>2017年</w:t>
      </w:r>
      <w:r>
        <w:rPr>
          <w:rFonts w:eastAsia="仿宋_GB2312"/>
          <w:kern w:val="0"/>
          <w:sz w:val="32"/>
          <w:szCs w:val="32"/>
        </w:rPr>
        <w:t>度省级一般公共预算专项资金绩效自评工作的通知》（湘财绩</w:t>
      </w:r>
      <w:r>
        <w:rPr>
          <w:rFonts w:eastAsia="仿宋_GB2312"/>
          <w:sz w:val="32"/>
          <w:szCs w:val="32"/>
        </w:rPr>
        <w:t>〔2018〕3</w:t>
      </w:r>
      <w:r>
        <w:rPr>
          <w:rFonts w:eastAsia="仿宋_GB2312"/>
          <w:kern w:val="0"/>
          <w:sz w:val="32"/>
          <w:szCs w:val="32"/>
        </w:rPr>
        <w:t>号）文件精神</w:t>
      </w:r>
      <w:r>
        <w:rPr>
          <w:rFonts w:eastAsia="仿宋_GB2312"/>
          <w:sz w:val="32"/>
          <w:szCs w:val="32"/>
        </w:rPr>
        <w:t>，结合我省省级财政水利资金使用管理实际，省水利厅及时研究开展绩效评价的有关工作方案，制定了《重大水利工程建设绩效评价指标表》、《重大水利工程建设绩效评价基础数据表》，于2018年2月下发了《关于印发&lt;2017年度省级</w:t>
      </w:r>
      <w:r>
        <w:rPr>
          <w:rFonts w:eastAsia="仿宋_GB2312"/>
          <w:kern w:val="0"/>
          <w:sz w:val="32"/>
          <w:szCs w:val="32"/>
        </w:rPr>
        <w:t>一般公共预算水利资金绩效</w:t>
      </w:r>
      <w:r>
        <w:rPr>
          <w:rFonts w:eastAsia="仿宋_GB2312"/>
          <w:sz w:val="32"/>
          <w:szCs w:val="32"/>
        </w:rPr>
        <w:t>评价实施方案&gt;的通知》（湘水办〔2017〕19号），部署县级水行政主管部门负责绩效评价自评工作，并按要求向市级水行政主管部门报送自评结果和项目绩效评价报告；配合上级部门的抽查和复核工作，并对评价中发现的问题进行整改。省水利厅成立了绩效评价工作组，负责绩效评价工作的组织领导和具体实施，组织、督促和复核市、县开展绩效评价实施工作，并形成绩效评价报告。</w:t>
      </w:r>
    </w:p>
    <w:p>
      <w:pPr>
        <w:spacing w:line="600" w:lineRule="exact"/>
        <w:ind w:firstLine="640" w:firstLineChars="200"/>
        <w:rPr>
          <w:rFonts w:eastAsia="仿宋_GB2312"/>
          <w:sz w:val="32"/>
          <w:szCs w:val="32"/>
        </w:rPr>
      </w:pPr>
      <w:r>
        <w:rPr>
          <w:rFonts w:eastAsia="仿宋_GB2312"/>
          <w:sz w:val="32"/>
          <w:szCs w:val="32"/>
        </w:rPr>
        <w:t>2018年3月12日开始，省水利厅绩效评价工作组组织了四个检查小组，前往长沙市、永州市、郴州市、怀化市、岳阳市、益阳市、湘西自治州等7个地市和厅直单位省水电设计院，对重大水利建设项目省级财政资金进行了检查和现场评价，现场评价项目数占项目总数的35%，现场评价项目的抽样总额80130万元，占项目资金总额的85.77%。现场评价检查小组采取座谈的方式听取情况汇报，在查阅收集相关资料，审查账簿凭证，现场查看项目具体实施情况，了解项目实施效果及存在的问题。对各项目年度重大水利工程建设专项资金的绩效目标进行分析评价，先由单位对照评分表做出自评分，检查组根据现场查勘情况进行考评计分，并于被检查单位充分进行沟通后，对发现的问题出具现场绩效评价取证单。通过获得各区县项目法人上报的绩效评价情况，并结合现场评价情况，采取目标预定与实施效果比较法，对评价对象进行定量定性分析和综合汇总分析，最终确定项目实施效果与年初计划是否相符、与上报自评报告是否相符，从而最终形成评价结论。</w:t>
      </w:r>
    </w:p>
    <w:p>
      <w:pPr>
        <w:pStyle w:val="2"/>
        <w:keepNext w:val="0"/>
        <w:keepLines w:val="0"/>
        <w:spacing w:before="0" w:after="0" w:line="600" w:lineRule="exact"/>
        <w:ind w:firstLine="643" w:firstLineChars="200"/>
        <w:rPr>
          <w:szCs w:val="32"/>
        </w:rPr>
      </w:pPr>
      <w:bookmarkStart w:id="40" w:name="_Toc511115262"/>
      <w:bookmarkStart w:id="41" w:name="_Toc512350723"/>
      <w:r>
        <w:rPr>
          <w:szCs w:val="32"/>
        </w:rPr>
        <w:t>五、综合评价结果</w:t>
      </w:r>
      <w:bookmarkEnd w:id="40"/>
      <w:bookmarkEnd w:id="41"/>
    </w:p>
    <w:p>
      <w:pPr>
        <w:spacing w:line="600" w:lineRule="exact"/>
        <w:ind w:firstLine="640" w:firstLineChars="200"/>
        <w:rPr>
          <w:rFonts w:eastAsia="仿宋_GB2312"/>
          <w:sz w:val="32"/>
          <w:szCs w:val="32"/>
        </w:rPr>
      </w:pPr>
      <w:r>
        <w:rPr>
          <w:rFonts w:eastAsia="仿宋_GB2312"/>
          <w:sz w:val="32"/>
          <w:szCs w:val="32"/>
        </w:rPr>
        <w:t>省级专项资金项目的实施，有力地推进了小型农田水利建设、农业水价综合改革项目、基层水利服务体系建设、莽山水库、涔天河水库等重大水利工程的建设，发挥了良好的引导作用。各项目县农业生产条件和生活条件得到改善，农民群众筹资筹劳参与重大水利工程建设的积极性明显提高，农民群众对于政府加大重大水利工程建设工作满意度有了明显的提高。其中通过调查问卷显示，小型农田水利设施建设项目实施后人民群众满意度为100%，农业水价综合改革建设项目实施后人民群众满意度为100%。重大水利工程建设得到了群众的广泛认可和欢迎。</w:t>
      </w:r>
    </w:p>
    <w:p>
      <w:pPr>
        <w:spacing w:line="600" w:lineRule="exact"/>
        <w:ind w:firstLine="640" w:firstLineChars="200"/>
        <w:rPr>
          <w:rFonts w:eastAsia="仿宋_GB2312"/>
          <w:sz w:val="32"/>
          <w:szCs w:val="32"/>
        </w:rPr>
      </w:pPr>
      <w:r>
        <w:rPr>
          <w:rFonts w:eastAsia="仿宋_GB2312"/>
          <w:sz w:val="32"/>
          <w:szCs w:val="32"/>
        </w:rPr>
        <w:drawing>
          <wp:anchor distT="0" distB="0" distL="114300" distR="114300" simplePos="0" relativeHeight="251646976" behindDoc="1" locked="0" layoutInCell="1" allowOverlap="1">
            <wp:simplePos x="0" y="0"/>
            <wp:positionH relativeFrom="margin">
              <wp:posOffset>2821940</wp:posOffset>
            </wp:positionH>
            <wp:positionV relativeFrom="paragraph">
              <wp:posOffset>807720</wp:posOffset>
            </wp:positionV>
            <wp:extent cx="3240405" cy="2425065"/>
            <wp:effectExtent l="0" t="0" r="0" b="0"/>
            <wp:wrapTight wrapText="bothSides">
              <wp:wrapPolygon>
                <wp:start x="0" y="0"/>
                <wp:lineTo x="0" y="21379"/>
                <wp:lineTo x="21460" y="21379"/>
                <wp:lineTo x="2146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40405" cy="2425065"/>
                    </a:xfrm>
                    <a:prstGeom prst="rect">
                      <a:avLst/>
                    </a:prstGeom>
                    <a:noFill/>
                    <a:ln>
                      <a:noFill/>
                    </a:ln>
                  </pic:spPr>
                </pic:pic>
              </a:graphicData>
            </a:graphic>
          </wp:anchor>
        </w:drawing>
      </w:r>
      <w:r>
        <w:rPr>
          <w:rFonts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2713355</wp:posOffset>
                </wp:positionH>
                <wp:positionV relativeFrom="paragraph">
                  <wp:posOffset>3154045</wp:posOffset>
                </wp:positionV>
                <wp:extent cx="3231515" cy="425450"/>
                <wp:effectExtent l="0" t="0" r="0" b="0"/>
                <wp:wrapNone/>
                <wp:docPr id="5" name="文本框 15"/>
                <wp:cNvGraphicFramePr/>
                <a:graphic xmlns:a="http://schemas.openxmlformats.org/drawingml/2006/main">
                  <a:graphicData uri="http://schemas.microsoft.com/office/word/2010/wordprocessingShape">
                    <wps:wsp>
                      <wps:cNvSpPr txBox="1"/>
                      <wps:spPr>
                        <a:xfrm>
                          <a:off x="0" y="0"/>
                          <a:ext cx="3231515" cy="425450"/>
                        </a:xfrm>
                        <a:prstGeom prst="rect">
                          <a:avLst/>
                        </a:prstGeom>
                        <a:noFill/>
                        <a:ln w="9525">
                          <a:noFill/>
                        </a:ln>
                      </wps:spPr>
                      <wps:txbx>
                        <w:txbxContent>
                          <w:p>
                            <w:pPr>
                              <w:jc w:val="center"/>
                              <w:rPr>
                                <w:rFonts w:ascii="黑体" w:hAnsi="黑体" w:eastAsia="黑体"/>
                                <w:color w:val="FFFFFF" w:themeColor="background1"/>
                                <w:sz w:val="18"/>
                                <w14:textFill>
                                  <w14:solidFill>
                                    <w14:schemeClr w14:val="bg1"/>
                                  </w14:solidFill>
                                </w14:textFill>
                              </w:rPr>
                            </w:pPr>
                            <w:r>
                              <w:rPr>
                                <w:rFonts w:hint="eastAsia" w:ascii="黑体" w:hAnsi="黑体" w:eastAsia="黑体"/>
                                <w:sz w:val="18"/>
                              </w:rPr>
                              <w:t>省级重大水利工程专项资金满意度问卷调查表</w:t>
                            </w:r>
                          </w:p>
                          <w:p/>
                        </w:txbxContent>
                      </wps:txbx>
                      <wps:bodyPr upright="1"/>
                    </wps:wsp>
                  </a:graphicData>
                </a:graphic>
              </wp:anchor>
            </w:drawing>
          </mc:Choice>
          <mc:Fallback>
            <w:pict>
              <v:shape id="文本框 15" o:spid="_x0000_s1026" o:spt="202" type="#_x0000_t202" style="position:absolute;left:0pt;margin-left:213.65pt;margin-top:248.35pt;height:33.5pt;width:254.45pt;z-index:251665408;mso-width-relative:page;mso-height-relative:page;" filled="f" stroked="f" coordsize="21600,21600" o:gfxdata="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HyhKG2QAAAAsBAAAPAAAAAAAAAAEAIAAAACIA&#10;AABkcnMvZG93bnJldi54bWxQSwECFAAUAAAACACHTuJAIfwYG5YBAAAKAwAADgAAAAAAAAABACAA&#10;AAAoAQAAZHJzL2Uyb0RvYy54bWxQSwUGAAAAAAYABgBZAQAAMAUAAAAA&#10;">
                <v:fill on="f" focussize="0,0"/>
                <v:stroke on="f"/>
                <v:imagedata o:title=""/>
                <o:lock v:ext="edit" aspectratio="f"/>
                <v:textbox>
                  <w:txbxContent>
                    <w:p>
                      <w:pPr>
                        <w:jc w:val="center"/>
                        <w:rPr>
                          <w:rFonts w:ascii="黑体" w:hAnsi="黑体" w:eastAsia="黑体"/>
                          <w:color w:val="FFFFFF" w:themeColor="background1"/>
                          <w:sz w:val="18"/>
                          <w14:textFill>
                            <w14:solidFill>
                              <w14:schemeClr w14:val="bg1"/>
                            </w14:solidFill>
                          </w14:textFill>
                        </w:rPr>
                      </w:pPr>
                      <w:r>
                        <w:rPr>
                          <w:rFonts w:hint="eastAsia" w:ascii="黑体" w:hAnsi="黑体" w:eastAsia="黑体"/>
                          <w:sz w:val="18"/>
                        </w:rPr>
                        <w:t>省级重大水利工程专项资金满意度问卷调查表</w:t>
                      </w:r>
                    </w:p>
                    <w:p/>
                  </w:txbxContent>
                </v:textbox>
              </v:shape>
            </w:pict>
          </mc:Fallback>
        </mc:AlternateContent>
      </w:r>
      <w:r>
        <w:rPr>
          <w:rFonts w:eastAsia="仿宋_GB2312"/>
          <w:sz w:val="32"/>
          <w:szCs w:val="32"/>
        </w:rPr>
        <w:t>从绩效评价结果来看，2017年度重大水利工程建设专项资金的使用和管理透明、规范，效益得到了有效发挥，最大限度维护了经济社会发展大局稳定。根据2017年度《重大水利工程建设资金绩效评价指标及评分标准》，2017年度湖南省重大水利工程建设资金绩效评价综合得分为94分，财政支出绩效为“优”。</w:t>
      </w:r>
    </w:p>
    <w:p>
      <w:pPr>
        <w:pStyle w:val="2"/>
        <w:keepNext w:val="0"/>
        <w:keepLines w:val="0"/>
        <w:spacing w:before="0" w:after="0" w:line="600" w:lineRule="exact"/>
        <w:ind w:firstLine="643" w:firstLineChars="200"/>
        <w:rPr>
          <w:szCs w:val="32"/>
        </w:rPr>
      </w:pPr>
      <w:bookmarkStart w:id="42" w:name="_Toc511115263"/>
      <w:bookmarkStart w:id="43" w:name="_Toc512350724"/>
      <w:r>
        <w:rPr>
          <w:szCs w:val="32"/>
        </w:rPr>
        <w:t>六、项目主要绩效</w:t>
      </w:r>
      <w:bookmarkEnd w:id="42"/>
      <w:bookmarkEnd w:id="43"/>
      <w:bookmarkStart w:id="69" w:name="_GoBack"/>
      <w:bookmarkEnd w:id="69"/>
    </w:p>
    <w:p>
      <w:pPr>
        <w:spacing w:line="600" w:lineRule="exact"/>
        <w:ind w:firstLine="640" w:firstLineChars="200"/>
        <w:rPr>
          <w:rFonts w:eastAsia="仿宋_GB2312"/>
          <w:sz w:val="32"/>
          <w:szCs w:val="32"/>
        </w:rPr>
      </w:pPr>
      <w:r>
        <w:rPr>
          <w:rFonts w:eastAsia="仿宋_GB2312"/>
          <w:sz w:val="32"/>
          <w:szCs w:val="32"/>
        </w:rPr>
        <w:t>湖南省重大水利工程建设专项，为促进经济社会持续健康发展、保障人民生命安全发挥了重要作用。2017年，湖南省通过重大水利工程建设和实施带来的经济效益、社会效益、生态环境效益及可持续影响显著，群众满意度总体为100%。</w:t>
      </w:r>
    </w:p>
    <w:p>
      <w:pPr>
        <w:pStyle w:val="3"/>
        <w:keepNext w:val="0"/>
        <w:keepLines w:val="0"/>
        <w:spacing w:line="600" w:lineRule="exact"/>
        <w:ind w:firstLine="643" w:firstLineChars="200"/>
        <w:rPr>
          <w:rFonts w:ascii="Times New Roman" w:hAnsi="Times New Roman" w:eastAsia="楷体_GB2312" w:cs="Times New Roman"/>
        </w:rPr>
      </w:pPr>
      <w:bookmarkStart w:id="44" w:name="_Toc512350725"/>
      <w:bookmarkStart w:id="45" w:name="_Toc511115264"/>
      <w:r>
        <w:rPr>
          <w:rFonts w:ascii="Times New Roman" w:hAnsi="Times New Roman" w:eastAsia="楷体_GB2312" w:cs="Times New Roman"/>
        </w:rPr>
        <w:t>（一）经济效益</w:t>
      </w:r>
      <w:bookmarkEnd w:id="44"/>
      <w:bookmarkEnd w:id="45"/>
    </w:p>
    <w:p>
      <w:pPr>
        <w:spacing w:line="600" w:lineRule="exact"/>
        <w:ind w:firstLine="640" w:firstLineChars="200"/>
        <w:rPr>
          <w:rFonts w:eastAsia="仿宋_GB2312"/>
          <w:sz w:val="32"/>
          <w:szCs w:val="32"/>
        </w:rPr>
      </w:pPr>
      <w:r>
        <w:rPr>
          <w:rFonts w:eastAsia="仿宋_GB2312"/>
          <w:sz w:val="32"/>
          <w:szCs w:val="32"/>
        </w:rPr>
        <w:t>2017年度湖南省重大水利工程建设项目在防汛抗旱抢险、减免农田受灾面积、减免经济损失、增产亩均粮食、提高农民人均收入等方面发挥了巨大的经济效益。</w:t>
      </w:r>
    </w:p>
    <w:p>
      <w:pPr>
        <w:spacing w:line="600" w:lineRule="exact"/>
        <w:ind w:firstLine="643" w:firstLineChars="200"/>
        <w:rPr>
          <w:rFonts w:eastAsia="仿宋_GB2312"/>
          <w:sz w:val="32"/>
          <w:szCs w:val="32"/>
        </w:rPr>
      </w:pPr>
      <w:r>
        <w:rPr>
          <w:rFonts w:eastAsia="仿宋_GB2312"/>
          <w:b/>
          <w:sz w:val="32"/>
          <w:szCs w:val="32"/>
        </w:rPr>
        <w:t>1．2017年基层水管单位能力建设项目。</w:t>
      </w:r>
      <w:r>
        <w:rPr>
          <w:rFonts w:eastAsia="仿宋_GB2312"/>
          <w:sz w:val="32"/>
          <w:szCs w:val="32"/>
        </w:rPr>
        <w:t>该项目的经济效益表现为：大大改善了基层水管单位工作条件，为基层水利工作者开展项目监督检查提供了技术装备保障，确保了工程建设质量；共开展防汛抗旱抢险2536人次，减免农田受灾面积33120公顷，减免受灾人口127万人，减免经济损失79123万元。</w:t>
      </w:r>
    </w:p>
    <w:p>
      <w:pPr>
        <w:spacing w:line="600" w:lineRule="exact"/>
        <w:ind w:firstLine="643" w:firstLineChars="200"/>
        <w:rPr>
          <w:rFonts w:eastAsia="仿宋_GB2312"/>
          <w:sz w:val="32"/>
          <w:szCs w:val="32"/>
        </w:rPr>
      </w:pPr>
      <w:r>
        <w:rPr>
          <w:rFonts w:eastAsia="仿宋_GB2312"/>
          <w:b/>
          <w:sz w:val="32"/>
          <w:szCs w:val="32"/>
        </w:rPr>
        <mc:AlternateContent>
          <mc:Choice Requires="wps">
            <w:drawing>
              <wp:anchor distT="0" distB="0" distL="114300" distR="114300" simplePos="0" relativeHeight="251656192" behindDoc="0" locked="0" layoutInCell="1" allowOverlap="1">
                <wp:simplePos x="0" y="0"/>
                <wp:positionH relativeFrom="column">
                  <wp:posOffset>-3103245</wp:posOffset>
                </wp:positionH>
                <wp:positionV relativeFrom="paragraph">
                  <wp:posOffset>2592070</wp:posOffset>
                </wp:positionV>
                <wp:extent cx="3079115" cy="425450"/>
                <wp:effectExtent l="0" t="0" r="0"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79115" cy="42545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rPr>
                                <w:rFonts w:ascii="黑体" w:hAnsi="黑体" w:eastAsia="黑体"/>
                                <w:sz w:val="18"/>
                              </w:rPr>
                            </w:pPr>
                            <w:r>
                              <w:rPr>
                                <w:rFonts w:hint="eastAsia" w:ascii="黑体" w:hAnsi="黑体" w:eastAsia="黑体"/>
                                <w:sz w:val="18"/>
                              </w:rPr>
                              <w:t>现场查勘衡龙桥镇小型农田水利建设堰塘清淤项目</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44.35pt;margin-top:204.1pt;height:33.5pt;width:242.45pt;z-index:251656192;mso-width-relative:page;mso-height-relative:page;" filled="f" stroked="f" coordsize="21600,21600" o:gfxdata="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x7Ot2AAAAAsBAAAPAAAAAAAAAAEAIAAAACIAAABkcnMvZG93bnJldi54&#10;bWxQSwECFAAUAAAACACHTuJAQWkeQfoBAADKAwAADgAAAAAAAAABACAAAAAnAQAAZHJzL2Uyb0Rv&#10;Yy54bWxQSwUGAAAAAAYABgBZAQAAkwUAAAAA&#10;">
                <v:fill on="f" focussize="0,0"/>
                <v:stroke on="f"/>
                <v:imagedata o:title=""/>
                <o:lock v:ext="edit" aspectratio="f"/>
                <v:textbox>
                  <w:txbxContent>
                    <w:p>
                      <w:pPr>
                        <w:rPr>
                          <w:rFonts w:ascii="黑体" w:hAnsi="黑体" w:eastAsia="黑体"/>
                          <w:sz w:val="18"/>
                        </w:rPr>
                      </w:pPr>
                      <w:r>
                        <w:rPr>
                          <w:rFonts w:hint="eastAsia" w:ascii="黑体" w:hAnsi="黑体" w:eastAsia="黑体"/>
                          <w:sz w:val="18"/>
                        </w:rPr>
                        <w:t>现场查勘衡龙桥镇小型农田水利建设堰塘清淤项目</w:t>
                      </w:r>
                    </w:p>
                  </w:txbxContent>
                </v:textbox>
              </v:shape>
            </w:pict>
          </mc:Fallback>
        </mc:AlternateContent>
      </w:r>
      <w:r>
        <w:rPr>
          <w:rFonts w:eastAsia="仿宋_GB2312"/>
          <w:b/>
          <w:sz w:val="32"/>
          <w:szCs w:val="32"/>
        </w:rPr>
        <w:drawing>
          <wp:anchor distT="0" distB="0" distL="114300" distR="114300" simplePos="0" relativeHeight="251668480" behindDoc="1" locked="0" layoutInCell="1" allowOverlap="1">
            <wp:simplePos x="0" y="0"/>
            <wp:positionH relativeFrom="margin">
              <wp:posOffset>-5715</wp:posOffset>
            </wp:positionH>
            <wp:positionV relativeFrom="paragraph">
              <wp:posOffset>278130</wp:posOffset>
            </wp:positionV>
            <wp:extent cx="2987040" cy="2264410"/>
            <wp:effectExtent l="19050" t="0" r="3810" b="0"/>
            <wp:wrapTight wrapText="bothSides">
              <wp:wrapPolygon>
                <wp:start x="-138" y="0"/>
                <wp:lineTo x="-138" y="21443"/>
                <wp:lineTo x="21628" y="21443"/>
                <wp:lineTo x="21628" y="0"/>
                <wp:lineTo x="-138"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87040" cy="2264410"/>
                    </a:xfrm>
                    <a:prstGeom prst="rect">
                      <a:avLst/>
                    </a:prstGeom>
                    <a:noFill/>
                    <a:ln>
                      <a:noFill/>
                    </a:ln>
                  </pic:spPr>
                </pic:pic>
              </a:graphicData>
            </a:graphic>
          </wp:anchor>
        </w:drawing>
      </w:r>
      <w:r>
        <w:rPr>
          <w:rFonts w:eastAsia="仿宋_GB2312"/>
          <w:b/>
          <w:sz w:val="32"/>
          <w:szCs w:val="32"/>
        </w:rPr>
        <w:t>2．2017年农田水利综合改革试点项目和省级小型农田水利建设项目。</w:t>
      </w:r>
      <w:r>
        <w:rPr>
          <w:rFonts w:eastAsia="仿宋_GB2312"/>
          <w:sz w:val="32"/>
          <w:szCs w:val="32"/>
        </w:rPr>
        <w:t>上述项目资金的经济效益表现为：进一步夯实了农业生产基础，同时落实了管护责任，延长了工程使用寿命。项目完成后，新增和新</w:t>
      </w:r>
    </w:p>
    <w:p>
      <w:pPr>
        <w:spacing w:before="156" w:beforeLines="50" w:line="600" w:lineRule="exact"/>
        <w:rPr>
          <w:rFonts w:eastAsia="仿宋_GB2312"/>
          <w:sz w:val="32"/>
          <w:szCs w:val="32"/>
        </w:rPr>
      </w:pPr>
      <w:r>
        <w:rPr>
          <w:rFonts w:eastAsia="仿宋_GB2312"/>
          <w:sz w:val="32"/>
          <w:szCs w:val="32"/>
        </w:rPr>
        <w:t>增高效节水灌溉面积14832亩，维修养护项目农田面积67万亩，新增粮食产能约335万公斤，人均增收约93元。高效节水项目区年可节水约120万立方米，节约水费12万元，可实现省工节能效益111万元。</w:t>
      </w:r>
    </w:p>
    <w:p>
      <w:pPr>
        <w:spacing w:line="600" w:lineRule="exact"/>
        <w:ind w:firstLine="643" w:firstLineChars="200"/>
        <w:rPr>
          <w:rFonts w:eastAsia="仿宋_GB2312"/>
          <w:sz w:val="32"/>
          <w:szCs w:val="32"/>
        </w:rPr>
      </w:pPr>
      <w:r>
        <w:rPr>
          <w:rFonts w:eastAsia="仿宋_GB2312"/>
          <w:b/>
          <w:sz w:val="32"/>
          <w:szCs w:val="32"/>
        </w:rPr>
        <w:t>3、2017年农业水价综合改革项目。</w:t>
      </w:r>
      <w:r>
        <w:rPr>
          <w:rFonts w:eastAsia="仿宋_GB2312"/>
          <w:sz w:val="32"/>
          <w:szCs w:val="32"/>
        </w:rPr>
        <w:t>该项目的经济效益表现为：改善灌溉面积13.75万亩，亩均粮食增产37.8公斤，改革区亩均用水量由改革前的509立方米减少到421立方米。各项目县通过改革，均能取得可观的经济效益。例如澧县，通过信息化建设、计量设施建设、用水者协会建设、山塘整修及配套设施改造和宣传及培训等措施，完成2017年度农业水价改革任务目标，使得澧阳平原灌区内项目区渠系水利用系数由0.61提高至0.75，亩均节水58 立方米，年新增节水能力约98万立方米，改善灌溉面积17026亩，澧阳平原灌区全年可增收90万元，农民人均增收117元。烟棚峪灌区内项目区渠系水利用系数由0.66提高至0.8，亩均节水48立方米，年新增节水能力约20万立方米，改善灌溉面积3360亩，烟棚峪灌区全年可增收20万元，农民人均增收131元。</w:t>
      </w:r>
    </w:p>
    <w:p>
      <w:pPr>
        <w:spacing w:line="60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-3378835</wp:posOffset>
                </wp:positionH>
                <wp:positionV relativeFrom="paragraph">
                  <wp:posOffset>2538730</wp:posOffset>
                </wp:positionV>
                <wp:extent cx="2670810" cy="457200"/>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70810" cy="45720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pStyle w:val="8"/>
                              <w:jc w:val="center"/>
                              <w:rPr>
                                <w:rFonts w:ascii="Times New Roman" w:hAnsi="Times New Roman" w:eastAsia="仿宋" w:cs="Times New Roman"/>
                                <w:sz w:val="28"/>
                                <w:szCs w:val="21"/>
                              </w:rPr>
                            </w:pPr>
                            <w:r>
                              <w:rPr>
                                <w:rFonts w:hint="eastAsia"/>
                                <w:sz w:val="18"/>
                              </w:rPr>
                              <w:t>现场查勘莽山水库工程</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6.05pt;margin-top:199.9pt;height:36pt;width:210.3pt;z-index:251669504;mso-width-relative:page;mso-height-relative:page;" filled="f" stroked="f" coordsize="21600,21600" o:gfxdata="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h7rvaAAAADQEAAA8AAAAAAAAAAQAgAAAAIgAAAGRycy9kb3ducmV2Lnht&#10;bFBLAQIUABQAAAAIAIdO4kCY0LSM9wEAAMkDAAAOAAAAAAAAAAEAIAAAACkBAABkcnMvZTJvRG9j&#10;LnhtbFBLBQYAAAAABgAGAFkBAACSBQAAAAA=&#10;">
                <v:fill on="f" focussize="0,0"/>
                <v:stroke on="f"/>
                <v:imagedata o:title=""/>
                <o:lock v:ext="edit" aspectratio="f"/>
                <v:textbox>
                  <w:txbxContent>
                    <w:p>
                      <w:pPr>
                        <w:pStyle w:val="8"/>
                        <w:jc w:val="center"/>
                        <w:rPr>
                          <w:rFonts w:ascii="Times New Roman" w:hAnsi="Times New Roman" w:eastAsia="仿宋" w:cs="Times New Roman"/>
                          <w:sz w:val="28"/>
                          <w:szCs w:val="21"/>
                        </w:rPr>
                      </w:pPr>
                      <w:r>
                        <w:rPr>
                          <w:rFonts w:hint="eastAsia"/>
                          <w:sz w:val="18"/>
                        </w:rPr>
                        <w:t>现场查勘莽山水库工程</w:t>
                      </w:r>
                    </w:p>
                    <w:p/>
                  </w:txbxContent>
                </v:textbox>
              </v:shape>
            </w:pict>
          </mc:Fallback>
        </mc:AlternateContent>
      </w:r>
      <w:r>
        <w:rPr>
          <w:rFonts w:eastAsia="仿宋_GB2312"/>
          <w:b/>
          <w:sz w:val="32"/>
          <w:szCs w:val="32"/>
        </w:rPr>
        <w:drawing>
          <wp:anchor distT="0" distB="0" distL="114300" distR="114300" simplePos="0" relativeHeight="251666432" behindDoc="1" locked="0" layoutInCell="1" allowOverlap="1">
            <wp:simplePos x="0" y="0"/>
            <wp:positionH relativeFrom="margin">
              <wp:posOffset>26035</wp:posOffset>
            </wp:positionH>
            <wp:positionV relativeFrom="paragraph">
              <wp:posOffset>101600</wp:posOffset>
            </wp:positionV>
            <wp:extent cx="3267075" cy="2434590"/>
            <wp:effectExtent l="0" t="0" r="9525" b="3810"/>
            <wp:wrapTight wrapText="bothSides">
              <wp:wrapPolygon>
                <wp:start x="0" y="0"/>
                <wp:lineTo x="0" y="21465"/>
                <wp:lineTo x="21537" y="21465"/>
                <wp:lineTo x="21537"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67075" cy="2434590"/>
                    </a:xfrm>
                    <a:prstGeom prst="rect">
                      <a:avLst/>
                    </a:prstGeom>
                    <a:noFill/>
                    <a:ln>
                      <a:noFill/>
                    </a:ln>
                  </pic:spPr>
                </pic:pic>
              </a:graphicData>
            </a:graphic>
          </wp:anchor>
        </w:drawing>
      </w:r>
      <w:r>
        <w:rPr>
          <w:rFonts w:eastAsia="仿宋_GB2312"/>
          <w:b/>
          <w:sz w:val="32"/>
          <w:szCs w:val="32"/>
        </w:rPr>
        <w:t>4．2017年莽山水库工程省级配套等省级水利项目。</w:t>
      </w:r>
      <w:r>
        <w:rPr>
          <w:rFonts w:eastAsia="仿宋_GB2312"/>
          <w:sz w:val="32"/>
          <w:szCs w:val="32"/>
        </w:rPr>
        <w:t>该项目的经济效益表现如下：</w:t>
      </w:r>
      <w:r>
        <w:rPr>
          <w:rFonts w:hint="eastAsia" w:ascii="宋体" w:hAnsi="宋体" w:eastAsia="宋体" w:cs="宋体"/>
          <w:sz w:val="32"/>
          <w:szCs w:val="32"/>
        </w:rPr>
        <w:t>①</w:t>
      </w:r>
      <w:r>
        <w:rPr>
          <w:rFonts w:eastAsia="仿宋_GB2312"/>
          <w:sz w:val="32"/>
          <w:szCs w:val="32"/>
        </w:rPr>
        <w:t>莽山水库工程建成后，可提高长乐水河中下游的一六、栗源两镇和沿河107国道的防洪标准，更好保护坝址至栗源镇河段沿河两岸房屋和农田，同时使广东省坪石、乐昌、韶关等地的防洪标准有所提高；可改善约10个乡镇灌溉条件，提高灌溉保证率，有效提高粮食产量。</w:t>
      </w:r>
      <w:r>
        <w:rPr>
          <w:rFonts w:hint="eastAsia" w:ascii="宋体" w:hAnsi="宋体" w:eastAsia="宋体" w:cs="宋体"/>
          <w:sz w:val="32"/>
          <w:szCs w:val="32"/>
        </w:rPr>
        <w:t>②</w:t>
      </w:r>
      <w:r>
        <w:rPr>
          <w:rFonts w:eastAsia="仿宋_GB2312"/>
          <w:sz w:val="32"/>
          <w:szCs w:val="32"/>
        </w:rPr>
        <w:t>毛俊水库工程建成后，可灌溉毛俊水库下游蓝山、嘉禾和新田三县共30个乡镇。设计灌溉面积41.15万亩，其中改善灌溉面积26.95万亩，新增灌溉面积14.2万亩(含新开垦耕地1.47万亩)。</w:t>
      </w:r>
    </w:p>
    <w:p>
      <w:pPr>
        <w:spacing w:line="600" w:lineRule="exact"/>
        <w:ind w:firstLine="640" w:firstLineChars="200"/>
        <w:rPr>
          <w:rFonts w:eastAsia="仿宋_GB2312"/>
          <w:sz w:val="32"/>
          <w:szCs w:val="32"/>
        </w:rPr>
      </w:pPr>
      <w:r>
        <w:rPr>
          <w:rFonts w:hint="eastAsia" w:ascii="宋体" w:hAnsi="宋体" w:eastAsia="宋体" w:cs="宋体"/>
          <w:sz w:val="32"/>
          <w:szCs w:val="32"/>
        </w:rPr>
        <w:t>③</w:t>
      </w:r>
      <w:r>
        <w:rPr>
          <w:rFonts w:eastAsia="仿宋_GB2312"/>
          <w:sz w:val="32"/>
          <w:szCs w:val="32"/>
        </w:rPr>
        <w:t>黄盖湖防洪治理工程在2017年对堤身加高培厚，对穿堤建筑物进行了拆除重建，对机电设备进行了更新改造，防洪标准从不足5年一遇，达到10~20年一遇。2017年汛期，堤垸只安排人员进行正常防守，没有运用任何抢险物资，节省人力物力约3000万元。</w:t>
      </w:r>
      <w:r>
        <w:rPr>
          <w:rFonts w:hint="eastAsia" w:ascii="宋体" w:hAnsi="宋体" w:eastAsia="宋体" w:cs="宋体"/>
          <w:sz w:val="32"/>
          <w:szCs w:val="32"/>
        </w:rPr>
        <w:t>④</w:t>
      </w:r>
      <w:r>
        <w:rPr>
          <w:rFonts w:eastAsia="仿宋_GB2312"/>
          <w:sz w:val="32"/>
          <w:szCs w:val="32"/>
        </w:rPr>
        <w:t>钱粮湖、共双茶、大通湖东垸三垸是有效分蓄50亿立方米超额洪量的蓄滞洪区，安全建设工程完工后，可为垸内群众提供安全的安置环境，可降低城陵矶水位0.52米；</w:t>
      </w:r>
      <w:r>
        <w:rPr>
          <w:rFonts w:hint="eastAsia" w:ascii="宋体" w:hAnsi="宋体" w:eastAsia="宋体" w:cs="宋体"/>
          <w:sz w:val="32"/>
          <w:szCs w:val="32"/>
        </w:rPr>
        <w:t>⑤</w:t>
      </w:r>
      <w:r>
        <w:rPr>
          <w:rFonts w:eastAsia="仿宋_GB2312"/>
          <w:sz w:val="32"/>
          <w:szCs w:val="32"/>
        </w:rPr>
        <w:t>钱粮湖、共双茶、大通湖东垸三垸分洪闸工程是属于洞庭湖区蓄洪能力建设的重要组成部分。分洪闸工程完工后，能够更有计划性、有操作性的分蓄超额洪水。</w:t>
      </w:r>
    </w:p>
    <w:p>
      <w:pPr>
        <w:spacing w:line="600" w:lineRule="exact"/>
        <w:ind w:firstLine="643" w:firstLineChars="200"/>
        <w:rPr>
          <w:rFonts w:eastAsia="仿宋_GB2312"/>
          <w:sz w:val="32"/>
          <w:szCs w:val="32"/>
        </w:rPr>
      </w:pPr>
      <w:r>
        <w:rPr>
          <w:rFonts w:eastAsia="仿宋_GB2312"/>
          <w:b/>
          <w:sz w:val="32"/>
          <w:szCs w:val="32"/>
        </w:rPr>
        <w:t>5．2017年涔天河水库建设项目。</w:t>
      </w:r>
      <w:r>
        <w:rPr>
          <w:rFonts w:eastAsia="仿宋_GB2312"/>
          <w:sz w:val="32"/>
          <w:szCs w:val="32"/>
        </w:rPr>
        <w:t>该项目经济效益表现为：大坝工程已于2017年</w:t>
      </w:r>
      <w:r>
        <w:rPr>
          <w:rFonts w:eastAsia="仿宋_GB2312"/>
          <w:sz w:val="32"/>
          <w:szCs w:val="32"/>
        </w:rPr>
        <w:tab/>
      </w:r>
      <w:r>
        <w:rPr>
          <w:rFonts w:eastAsia="仿宋_GB2312"/>
          <w:sz w:val="32"/>
          <w:szCs w:val="32"/>
        </w:rPr>
        <w:t>5月20日已全部完工，截至12月31日累计发电1701万度，初步发挥防汛效益。例如，2017年4月底左岸灌渠通水，保证涔天河老灌区8万亩农田灌溉；永州市在遭遇2017年洪灾期间，涔天河水库充分发挥作为潇水上游龙头水库的拦洪削峰作用，将出库下泄洪水始终控制在170个流量以内，极大减轻了下游防洪压力，为下游抗洪救灾提供强有力的保障。</w:t>
      </w:r>
    </w:p>
    <w:p>
      <w:pPr>
        <w:pStyle w:val="3"/>
        <w:keepNext w:val="0"/>
        <w:keepLines w:val="0"/>
        <w:spacing w:line="600" w:lineRule="exact"/>
        <w:ind w:firstLine="643" w:firstLineChars="200"/>
        <w:rPr>
          <w:rFonts w:ascii="Times New Roman" w:hAnsi="Times New Roman" w:eastAsia="楷体_GB2312" w:cs="Times New Roman"/>
        </w:rPr>
      </w:pPr>
      <w:bookmarkStart w:id="46" w:name="_Toc512350726"/>
      <w:bookmarkStart w:id="47" w:name="_Toc511115265"/>
      <w:r>
        <w:rPr>
          <w:rFonts w:ascii="Times New Roman" w:hAnsi="Times New Roman" w:eastAsia="楷体_GB2312" w:cs="Times New Roman"/>
        </w:rPr>
        <w:t>（二）社会效益</w:t>
      </w:r>
      <w:bookmarkEnd w:id="46"/>
      <w:bookmarkEnd w:id="47"/>
    </w:p>
    <w:p>
      <w:pPr>
        <w:spacing w:line="600" w:lineRule="exact"/>
        <w:ind w:firstLine="640" w:firstLineChars="200"/>
        <w:rPr>
          <w:rFonts w:eastAsia="仿宋_GB2312"/>
          <w:sz w:val="32"/>
          <w:szCs w:val="32"/>
        </w:rPr>
      </w:pPr>
      <w:r>
        <w:rPr>
          <w:rFonts w:eastAsia="仿宋_GB2312"/>
          <w:sz w:val="32"/>
          <w:szCs w:val="32"/>
        </w:rPr>
        <w:t>2017年度湖南省重大水利工程建设项目在增强项目区的抗灾能力、解决了劳动力就业、提高了农田水利项目监督管理水平、维护社会稳定等方面发挥了巨大的社会效益。</w:t>
      </w:r>
    </w:p>
    <w:p>
      <w:pPr>
        <w:spacing w:line="600" w:lineRule="exact"/>
        <w:ind w:firstLine="643" w:firstLineChars="200"/>
        <w:rPr>
          <w:rFonts w:eastAsia="仿宋_GB2312"/>
          <w:sz w:val="32"/>
          <w:szCs w:val="32"/>
        </w:rPr>
      </w:pPr>
      <w:r>
        <w:rPr>
          <w:rFonts w:eastAsia="楷体_GB2312"/>
          <w:b/>
          <w:sz w:val="32"/>
          <w:szCs w:val="32"/>
        </w:rPr>
        <mc:AlternateContent>
          <mc:Choice Requires="wps">
            <w:drawing>
              <wp:anchor distT="0" distB="0" distL="114300" distR="114300" simplePos="0" relativeHeight="251657216" behindDoc="0" locked="0" layoutInCell="1" allowOverlap="1">
                <wp:simplePos x="0" y="0"/>
                <wp:positionH relativeFrom="column">
                  <wp:posOffset>-2539365</wp:posOffset>
                </wp:positionH>
                <wp:positionV relativeFrom="paragraph">
                  <wp:posOffset>2451100</wp:posOffset>
                </wp:positionV>
                <wp:extent cx="1868170" cy="409575"/>
                <wp:effectExtent l="0" t="0" r="0" b="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40835" cy="551794"/>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rPr>
                                <w:sz w:val="28"/>
                              </w:rPr>
                            </w:pPr>
                            <w:r>
                              <w:rPr>
                                <w:rFonts w:hint="eastAsia" w:ascii="黑体" w:hAnsi="黑体" w:eastAsia="黑体"/>
                                <w:sz w:val="18"/>
                              </w:rPr>
                              <w:t>共双茶垸安全建设一期工程</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9.95pt;margin-top:193pt;height:32.25pt;width:147.1pt;z-index:251657216;mso-width-relative:page;mso-height-relative:page;" filled="f" stroked="f" coordsize="21600,21600" o:gfxdata="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hUVxHaAAAADQEAAA8AAAAAAAAAAQAgAAAAIgAAAGRycy9kb3ducmV2&#10;LnhtbFBLAQIUABQAAAAIAIdO4kBGsEIl+gEAAMoDAAAOAAAAAAAAAAEAIAAAACkBAABkcnMvZTJv&#10;RG9jLnhtbFBLBQYAAAAABgAGAFkBAACVBQAAAAA=&#10;">
                <v:fill on="f" focussize="0,0"/>
                <v:stroke on="f"/>
                <v:imagedata o:title=""/>
                <o:lock v:ext="edit" aspectratio="f"/>
                <v:textbox>
                  <w:txbxContent>
                    <w:p>
                      <w:pPr>
                        <w:rPr>
                          <w:sz w:val="28"/>
                        </w:rPr>
                      </w:pPr>
                      <w:r>
                        <w:rPr>
                          <w:rFonts w:hint="eastAsia" w:ascii="黑体" w:hAnsi="黑体" w:eastAsia="黑体"/>
                          <w:sz w:val="18"/>
                        </w:rPr>
                        <w:t>共双茶垸安全建设一期工程</w:t>
                      </w:r>
                    </w:p>
                  </w:txbxContent>
                </v:textbox>
              </v:shape>
            </w:pict>
          </mc:Fallback>
        </mc:AlternateContent>
      </w:r>
      <w:r>
        <w:rPr>
          <w:rFonts w:eastAsia="楷体_GB2312"/>
          <w:b/>
          <w:sz w:val="32"/>
          <w:szCs w:val="32"/>
        </w:rPr>
        <w:t>1．2017年基层水管单位能力建设项目。</w:t>
      </w:r>
      <w:r>
        <w:rPr>
          <w:rFonts w:eastAsia="仿宋_GB2312"/>
          <w:b/>
          <w:sz w:val="32"/>
          <w:szCs w:val="32"/>
        </w:rPr>
        <w:t>项目</w:t>
      </w:r>
      <w:r>
        <w:rPr>
          <w:rFonts w:eastAsia="仿宋_GB2312"/>
          <w:sz w:val="32"/>
          <w:szCs w:val="32"/>
        </w:rPr>
        <w:t>实施后站所面积增加9369平方米，站房按功能实现了区分，极大改善了办公条件，进一步调动了基层水利工作者积极性；提高了农田水利项目监督管理水平，保障了工程长效运行。</w:t>
      </w:r>
    </w:p>
    <w:p>
      <w:pPr>
        <w:spacing w:line="600" w:lineRule="exact"/>
        <w:ind w:firstLine="643" w:firstLineChars="200"/>
        <w:rPr>
          <w:rFonts w:eastAsia="仿宋_GB2312"/>
          <w:sz w:val="32"/>
          <w:szCs w:val="32"/>
        </w:rPr>
      </w:pPr>
      <w:r>
        <w:rPr>
          <w:rFonts w:eastAsia="楷体_GB2312"/>
          <w:b/>
          <w:sz w:val="32"/>
          <w:szCs w:val="32"/>
        </w:rPr>
        <mc:AlternateContent>
          <mc:Choice Requires="wps">
            <w:drawing>
              <wp:anchor distT="0" distB="0" distL="114300" distR="114300" simplePos="0" relativeHeight="251671552" behindDoc="0" locked="0" layoutInCell="1" allowOverlap="1">
                <wp:simplePos x="0" y="0"/>
                <wp:positionH relativeFrom="column">
                  <wp:posOffset>2522220</wp:posOffset>
                </wp:positionH>
                <wp:positionV relativeFrom="paragraph">
                  <wp:posOffset>4418965</wp:posOffset>
                </wp:positionV>
                <wp:extent cx="3153410" cy="414655"/>
                <wp:effectExtent l="0" t="0" r="0" b="4445"/>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53410" cy="41465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jc w:val="center"/>
                            </w:pPr>
                            <w:r>
                              <w:rPr>
                                <w:rFonts w:hint="eastAsia" w:eastAsia="黑体" w:asciiTheme="majorHAnsi" w:hAnsiTheme="majorHAnsi" w:cstheme="majorBidi"/>
                                <w:sz w:val="18"/>
                                <w:szCs w:val="20"/>
                              </w:rPr>
                              <w:t>现场查勘共双茶垸安全建设一期工程朱家嘴安全台</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8.6pt;margin-top:347.95pt;height:32.65pt;width:248.3pt;z-index:251671552;mso-width-relative:page;mso-height-relative:page;" filled="f" stroked="f" coordsize="21600,21600" o:gfxdata="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Z8AndkAAAALAQAADwAAAAAAAAABACAAAAAiAAAAZHJzL2Rvd25yZXYu&#10;eG1sUEsBAhQAFAAAAAgAh07iQF1FP1n6AQAAygMAAA4AAAAAAAAAAQAgAAAAKAEAAGRycy9lMm9E&#10;b2MueG1sUEsFBgAAAAAGAAYAWQEAAJQFAAAAAA==&#10;">
                <v:fill on="f" focussize="0,0"/>
                <v:stroke on="f"/>
                <v:imagedata o:title=""/>
                <o:lock v:ext="edit" aspectratio="f"/>
                <v:textbox>
                  <w:txbxContent>
                    <w:p>
                      <w:pPr>
                        <w:jc w:val="center"/>
                      </w:pPr>
                      <w:r>
                        <w:rPr>
                          <w:rFonts w:hint="eastAsia" w:eastAsia="黑体" w:asciiTheme="majorHAnsi" w:hAnsiTheme="majorHAnsi" w:cstheme="majorBidi"/>
                          <w:sz w:val="18"/>
                          <w:szCs w:val="20"/>
                        </w:rPr>
                        <w:t>现场查勘共双茶垸安全建设一期工程朱家嘴安全台</w:t>
                      </w:r>
                    </w:p>
                  </w:txbxContent>
                </v:textbox>
              </v:shape>
            </w:pict>
          </mc:Fallback>
        </mc:AlternateContent>
      </w:r>
      <w:r>
        <w:rPr>
          <w:rFonts w:eastAsia="楷体_GB2312"/>
          <w:b/>
          <w:sz w:val="32"/>
          <w:szCs w:val="32"/>
        </w:rPr>
        <w:drawing>
          <wp:anchor distT="0" distB="0" distL="114300" distR="114300" simplePos="0" relativeHeight="251663360" behindDoc="1" locked="0" layoutInCell="1" allowOverlap="1">
            <wp:simplePos x="0" y="0"/>
            <wp:positionH relativeFrom="margin">
              <wp:posOffset>2474595</wp:posOffset>
            </wp:positionH>
            <wp:positionV relativeFrom="paragraph">
              <wp:posOffset>2018030</wp:posOffset>
            </wp:positionV>
            <wp:extent cx="3202305" cy="2381250"/>
            <wp:effectExtent l="0" t="0" r="0" b="0"/>
            <wp:wrapTight wrapText="bothSides">
              <wp:wrapPolygon>
                <wp:start x="0" y="0"/>
                <wp:lineTo x="0" y="21427"/>
                <wp:lineTo x="21459" y="21427"/>
                <wp:lineTo x="21459"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02305" cy="2381250"/>
                    </a:xfrm>
                    <a:prstGeom prst="rect">
                      <a:avLst/>
                    </a:prstGeom>
                    <a:noFill/>
                    <a:ln>
                      <a:noFill/>
                    </a:ln>
                  </pic:spPr>
                </pic:pic>
              </a:graphicData>
            </a:graphic>
          </wp:anchor>
        </w:drawing>
      </w:r>
      <w:r>
        <w:rPr>
          <w:rFonts w:eastAsia="楷体_GB2312"/>
          <w:b/>
          <w:sz w:val="32"/>
          <w:szCs w:val="32"/>
        </w:rPr>
        <w:t>2．2017年农田水利综合改革试点项目和2017年小型农田水利建设项目。</w:t>
      </w:r>
      <w:r>
        <w:rPr>
          <w:rFonts w:eastAsia="仿宋_GB2312"/>
          <w:sz w:val="32"/>
          <w:szCs w:val="32"/>
        </w:rPr>
        <w:t>上述项的社会效益体现在：一是提高了土地利用率和农业生产效率，促进了农业生产向集约化、规模化、机械化发展，极大的改善项目区农民的生产和生活条件；二是通过群众自建自管方式，减少了水事纠纷，维护了社会稳定；三是解决了劳动力的就近就业、就地就业，为农村剩余劳动力的转移提供了新的途径，提高了当地农民群众的收入，促进农村社会稳定和和谐社会建设；四是通过创新建设管理体制机制，为全省农田水利改革提供了样板；五是减少水渗漏损失，输配水能力明显提升，农业灌溉用水利用效率显著提高，有效减缓了用水紧张；六是大幅度增强项目区的抗灾能力，使项目区原有的部分旱地和未利用地成为旱涝保收的稳产高产田，光、热、水资源利用率得到提高，完善的交通及相关的农田基础设施将满足现代化生态高效农业园区的要求。</w:t>
      </w:r>
    </w:p>
    <w:p>
      <w:pPr>
        <w:spacing w:line="60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67456" behindDoc="0" locked="0" layoutInCell="1" allowOverlap="1">
                <wp:simplePos x="0" y="0"/>
                <wp:positionH relativeFrom="column">
                  <wp:posOffset>-2831465</wp:posOffset>
                </wp:positionH>
                <wp:positionV relativeFrom="paragraph">
                  <wp:posOffset>2514600</wp:posOffset>
                </wp:positionV>
                <wp:extent cx="2670810" cy="457200"/>
                <wp:effectExtent l="0" t="0" r="0" b="0"/>
                <wp:wrapNone/>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70810" cy="45720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pStyle w:val="8"/>
                              <w:rPr>
                                <w:rFonts w:ascii="Times New Roman" w:hAnsi="Times New Roman" w:eastAsia="仿宋" w:cs="Times New Roman"/>
                                <w:sz w:val="28"/>
                                <w:szCs w:val="21"/>
                              </w:rPr>
                            </w:pPr>
                            <w:r>
                              <w:rPr>
                                <w:rFonts w:hint="eastAsia"/>
                                <w:sz w:val="18"/>
                              </w:rPr>
                              <w:t>鹤城区四十湾罐区农民用水户协会</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22.95pt;margin-top:198pt;height:36pt;width:210.3pt;z-index:251667456;mso-width-relative:page;mso-height-relative:page;" filled="f" stroked="f" coordsize="21600,21600" o:gfxdata="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YEsu2gAAAAwBAAAPAAAAAAAAAAEAIAAAACIAAABkcnMvZG93bnJldi54&#10;bWxQSwECFAAUAAAACACHTuJAU8qXV/gBAADKAwAADgAAAAAAAAABACAAAAApAQAAZHJzL2Uyb0Rv&#10;Yy54bWxQSwUGAAAAAAYABgBZAQAAkwUAAAAA&#10;">
                <v:fill on="f" focussize="0,0"/>
                <v:stroke on="f"/>
                <v:imagedata o:title=""/>
                <o:lock v:ext="edit" aspectratio="f"/>
                <v:textbox>
                  <w:txbxContent>
                    <w:p>
                      <w:pPr>
                        <w:pStyle w:val="8"/>
                        <w:rPr>
                          <w:rFonts w:ascii="Times New Roman" w:hAnsi="Times New Roman" w:eastAsia="仿宋" w:cs="Times New Roman"/>
                          <w:sz w:val="28"/>
                          <w:szCs w:val="21"/>
                        </w:rPr>
                      </w:pPr>
                      <w:r>
                        <w:rPr>
                          <w:rFonts w:hint="eastAsia"/>
                          <w:sz w:val="18"/>
                        </w:rPr>
                        <w:t>鹤城区四十湾罐区农民用水户协会</w:t>
                      </w:r>
                    </w:p>
                    <w:p/>
                  </w:txbxContent>
                </v:textbox>
              </v:shape>
            </w:pict>
          </mc:Fallback>
        </mc:AlternateContent>
      </w:r>
      <w:r>
        <w:rPr>
          <w:rFonts w:eastAsia="仿宋_GB2312"/>
          <w:sz w:val="32"/>
          <w:szCs w:val="32"/>
        </w:rPr>
        <w:drawing>
          <wp:anchor distT="0" distB="0" distL="114300" distR="114300" simplePos="0" relativeHeight="251660288" behindDoc="1" locked="0" layoutInCell="1" allowOverlap="1">
            <wp:simplePos x="0" y="0"/>
            <wp:positionH relativeFrom="margin">
              <wp:posOffset>-22860</wp:posOffset>
            </wp:positionH>
            <wp:positionV relativeFrom="paragraph">
              <wp:posOffset>74295</wp:posOffset>
            </wp:positionV>
            <wp:extent cx="3181350" cy="2390775"/>
            <wp:effectExtent l="0" t="0" r="0" b="9525"/>
            <wp:wrapTight wrapText="bothSides">
              <wp:wrapPolygon>
                <wp:start x="0" y="0"/>
                <wp:lineTo x="0" y="21514"/>
                <wp:lineTo x="21471" y="21514"/>
                <wp:lineTo x="21471"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81350" cy="2390775"/>
                    </a:xfrm>
                    <a:prstGeom prst="rect">
                      <a:avLst/>
                    </a:prstGeom>
                    <a:noFill/>
                    <a:ln>
                      <a:noFill/>
                    </a:ln>
                  </pic:spPr>
                </pic:pic>
              </a:graphicData>
            </a:graphic>
          </wp:anchor>
        </w:drawing>
      </w:r>
      <w:r>
        <w:rPr>
          <w:rFonts w:eastAsia="仿宋_GB2312"/>
          <w:sz w:val="32"/>
          <w:szCs w:val="32"/>
        </w:rPr>
        <w:t>3．</w:t>
      </w:r>
      <w:r>
        <w:rPr>
          <w:rFonts w:eastAsia="仿宋_GB2312"/>
          <w:b/>
          <w:sz w:val="32"/>
          <w:szCs w:val="32"/>
        </w:rPr>
        <w:t>2017年农业水价综合改革项目。</w:t>
      </w:r>
      <w:r>
        <w:rPr>
          <w:rFonts w:eastAsia="仿宋_GB2312"/>
          <w:sz w:val="32"/>
          <w:szCs w:val="32"/>
        </w:rPr>
        <w:t>该项目的社会效益体现在：一是促进经济发展，改善农民生产生活条件。通过渠系改造、堰塘清淤整治，提高土地利用率和农业生产效率，增加有效耕地面积，促进农业生产向集约化、规模化、机械化的方向发展，有效提高作物产量，增加农民收入，将极大改善项目区农民的生产生活条件；二是减少水事纠纷，维护社会稳定。灌区农民用水户协会和分会成立后，直接负责支渠以下工程的维修和养护，并参与计量供水和调水灌溉，这种群管模式理顺了政府、管理部门和农民三者之间的关系，由于农民直接管理和参与，也使得“两工”取消后带来的田间工程建设难问题在一定程度上得以破解。同时，大量减少甚至基本杜绝用水纠纷，促进农村社会的稳定；三是解放农村劳动力。末级渠系改造和农民用水户协会的组建，不仅缩短灌溉周期，而且使得农业灌溉有序进行，各用水户灌溉工作量大量减少，大批农村劳动力解放出来，可以从事多种经营等其他工作。</w:t>
      </w:r>
    </w:p>
    <w:p>
      <w:pPr>
        <w:spacing w:line="600" w:lineRule="exact"/>
        <w:ind w:firstLine="643" w:firstLineChars="200"/>
        <w:rPr>
          <w:rFonts w:eastAsia="仿宋_GB2312"/>
          <w:sz w:val="32"/>
          <w:szCs w:val="32"/>
        </w:rPr>
      </w:pPr>
      <w:r>
        <w:rPr>
          <w:rFonts w:eastAsia="仿宋_GB2312"/>
          <w:b/>
          <w:sz w:val="32"/>
          <w:szCs w:val="32"/>
        </w:rPr>
        <w:t>4．2017年莽山水库工程省级配套等省级水利项目。</w:t>
      </w:r>
      <w:r>
        <w:rPr>
          <w:rFonts w:eastAsia="仿宋_GB2312"/>
          <w:sz w:val="32"/>
          <w:szCs w:val="32"/>
        </w:rPr>
        <w:t>上述项目的社会效益体现在：</w:t>
      </w:r>
      <w:r>
        <w:rPr>
          <w:rFonts w:hint="eastAsia" w:ascii="宋体" w:hAnsi="宋体" w:eastAsia="宋体" w:cs="宋体"/>
          <w:sz w:val="32"/>
          <w:szCs w:val="32"/>
        </w:rPr>
        <w:t>①</w:t>
      </w:r>
      <w:r>
        <w:rPr>
          <w:rFonts w:eastAsia="仿宋_GB2312"/>
          <w:sz w:val="32"/>
          <w:szCs w:val="32"/>
        </w:rPr>
        <w:t>莽山水库工程建成后，可缓解当地电力供需矛盾，在系统中起到调峰济枯的作用，综合效益非常明显。</w:t>
      </w:r>
    </w:p>
    <w:p>
      <w:pPr>
        <w:spacing w:line="600" w:lineRule="exact"/>
        <w:ind w:firstLine="640" w:firstLineChars="200"/>
        <w:rPr>
          <w:rFonts w:eastAsia="仿宋_GB2312"/>
          <w:sz w:val="32"/>
          <w:szCs w:val="32"/>
        </w:rPr>
      </w:pPr>
      <w:r>
        <w:rPr>
          <w:rFonts w:eastAsia="仿宋_GB2312"/>
          <w:sz w:val="32"/>
          <w:szCs w:val="32"/>
        </w:rPr>
        <mc:AlternateContent>
          <mc:Choice Requires="wps">
            <w:drawing>
              <wp:anchor distT="0" distB="0" distL="114300" distR="114300" simplePos="0" relativeHeight="251650048" behindDoc="0" locked="0" layoutInCell="1" allowOverlap="1">
                <wp:simplePos x="0" y="0"/>
                <wp:positionH relativeFrom="column">
                  <wp:posOffset>514350</wp:posOffset>
                </wp:positionH>
                <wp:positionV relativeFrom="paragraph">
                  <wp:posOffset>2902585</wp:posOffset>
                </wp:positionV>
                <wp:extent cx="2172335" cy="362585"/>
                <wp:effectExtent l="0" t="0" r="0" b="0"/>
                <wp:wrapNone/>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72532" cy="36260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pPr>
                              <w:rPr>
                                <w:rFonts w:ascii="黑体" w:hAnsi="黑体" w:eastAsia="黑体"/>
                                <w:sz w:val="18"/>
                              </w:rPr>
                            </w:pPr>
                            <w:r>
                              <w:rPr>
                                <w:rFonts w:hint="eastAsia" w:ascii="黑体" w:hAnsi="黑体" w:eastAsia="黑体"/>
                                <w:sz w:val="18"/>
                              </w:rPr>
                              <w:t>现场查勘涔天河水库扩建枢纽工程</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0.5pt;margin-top:228.55pt;height:28.55pt;width:171.05pt;z-index:251650048;mso-width-relative:page;mso-height-relative:page;" filled="f" stroked="f" coordsize="21600,21600" o:gfxdata="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NrK32AAAAAoBAAAPAAAAAAAAAAEAIAAAACIAAABkcnMvZG93bnJldi54&#10;bWxQSwECFAAUAAAACACHTuJADRNZV/oBAADKAwAADgAAAAAAAAABACAAAAAnAQAAZHJzL2Uyb0Rv&#10;Yy54bWxQSwUGAAAAAAYABgBZAQAAkwUAAAAA&#10;">
                <v:fill on="f" focussize="0,0"/>
                <v:stroke on="f"/>
                <v:imagedata o:title=""/>
                <o:lock v:ext="edit" aspectratio="f"/>
                <v:textbox>
                  <w:txbxContent>
                    <w:p>
                      <w:pPr>
                        <w:rPr>
                          <w:rFonts w:ascii="黑体" w:hAnsi="黑体" w:eastAsia="黑体"/>
                          <w:sz w:val="18"/>
                        </w:rPr>
                      </w:pPr>
                      <w:r>
                        <w:rPr>
                          <w:rFonts w:hint="eastAsia" w:ascii="黑体" w:hAnsi="黑体" w:eastAsia="黑体"/>
                          <w:sz w:val="18"/>
                        </w:rPr>
                        <w:t>现场查勘涔天河水库扩建枢纽工程</w:t>
                      </w:r>
                    </w:p>
                  </w:txbxContent>
                </v:textbox>
              </v:shape>
            </w:pict>
          </mc:Fallback>
        </mc:AlternateContent>
      </w:r>
      <w:r>
        <w:rPr>
          <w:rFonts w:eastAsia="仿宋_GB2312"/>
          <w:sz w:val="32"/>
          <w:szCs w:val="32"/>
        </w:rPr>
        <w:drawing>
          <wp:anchor distT="0" distB="0" distL="114300" distR="114300" simplePos="0" relativeHeight="251658240" behindDoc="1" locked="0" layoutInCell="1" allowOverlap="1">
            <wp:simplePos x="0" y="0"/>
            <wp:positionH relativeFrom="margin">
              <wp:posOffset>5080</wp:posOffset>
            </wp:positionH>
            <wp:positionV relativeFrom="paragraph">
              <wp:posOffset>733425</wp:posOffset>
            </wp:positionV>
            <wp:extent cx="3011170" cy="2253615"/>
            <wp:effectExtent l="19050" t="0" r="0" b="0"/>
            <wp:wrapTight wrapText="bothSides">
              <wp:wrapPolygon>
                <wp:start x="-137" y="0"/>
                <wp:lineTo x="-137" y="21363"/>
                <wp:lineTo x="21591" y="21363"/>
                <wp:lineTo x="21591" y="0"/>
                <wp:lineTo x="-137"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11170" cy="2253615"/>
                    </a:xfrm>
                    <a:prstGeom prst="rect">
                      <a:avLst/>
                    </a:prstGeom>
                    <a:noFill/>
                    <a:ln>
                      <a:noFill/>
                    </a:ln>
                  </pic:spPr>
                </pic:pic>
              </a:graphicData>
            </a:graphic>
          </wp:anchor>
        </w:drawing>
      </w:r>
      <w:r>
        <w:rPr>
          <w:rFonts w:hint="eastAsia" w:ascii="宋体" w:hAnsi="宋体" w:eastAsia="宋体" w:cs="宋体"/>
          <w:sz w:val="32"/>
          <w:szCs w:val="32"/>
        </w:rPr>
        <w:t>②</w:t>
      </w:r>
      <w:r>
        <w:rPr>
          <w:rFonts w:eastAsia="仿宋_GB2312"/>
          <w:sz w:val="32"/>
          <w:szCs w:val="32"/>
        </w:rPr>
        <w:t>毛俊水库工程建成后可为蓝山、新田两县提供灌溉水量，促进并稳定当地农业生产,同时还具有城乡供水效益和发电效益，保障区内经济社会发展的用水需求，对促进当地经济社会发展和社会稳定有重要作用。</w:t>
      </w:r>
      <w:r>
        <w:rPr>
          <w:rFonts w:hint="eastAsia" w:ascii="宋体" w:hAnsi="宋体" w:eastAsia="宋体" w:cs="宋体"/>
          <w:sz w:val="32"/>
          <w:szCs w:val="32"/>
        </w:rPr>
        <w:t>③</w:t>
      </w:r>
      <w:r>
        <w:rPr>
          <w:rFonts w:eastAsia="仿宋_GB2312"/>
          <w:sz w:val="32"/>
          <w:szCs w:val="32"/>
        </w:rPr>
        <w:t>黄盖湖防洪治理工程建成后，黄盖湖流域防洪排涝能力将大幅增强，必将很好地统筹解决黄盖湖流域水灾害、水生态、水环境问题，有效保障防洪安全、供水安全、粮食安全，促进人水和谐，推动区域内经济社会又好又快发展。</w:t>
      </w:r>
      <w:r>
        <w:rPr>
          <w:rFonts w:hint="eastAsia" w:ascii="宋体" w:hAnsi="宋体" w:eastAsia="宋体" w:cs="宋体"/>
          <w:sz w:val="32"/>
          <w:szCs w:val="32"/>
        </w:rPr>
        <w:t>④</w:t>
      </w:r>
      <w:r>
        <w:rPr>
          <w:rFonts w:eastAsia="仿宋_GB2312"/>
          <w:sz w:val="32"/>
          <w:szCs w:val="32"/>
        </w:rPr>
        <w:t>钱粮湖、共双茶、大通湖东垸三垸蓄洪安全建设一期工程在工程完工后，可保证围堤安全，从而保障蓄洪垸内人民群众的财产安全，并能有效分蓄长江洪水，降低城陵矶水位，缓解城陵矶附近的防洪紧张局面，保障长江中游地区和洞庭湖的防洪安全。</w:t>
      </w:r>
      <w:r>
        <w:rPr>
          <w:rFonts w:hint="eastAsia" w:ascii="宋体" w:hAnsi="宋体" w:eastAsia="宋体" w:cs="宋体"/>
          <w:sz w:val="32"/>
          <w:szCs w:val="32"/>
        </w:rPr>
        <w:t>⑤</w:t>
      </w:r>
      <w:r>
        <w:rPr>
          <w:rFonts w:eastAsia="仿宋_GB2312"/>
          <w:sz w:val="32"/>
          <w:szCs w:val="32"/>
        </w:rPr>
        <w:t>钱粮湖、共双茶、大通湖东垸三垸分洪闸工程完工后，能为垸内群众提供安全的安置环境，维护社会稳定。</w:t>
      </w:r>
    </w:p>
    <w:p>
      <w:pPr>
        <w:spacing w:line="600" w:lineRule="exact"/>
        <w:ind w:firstLine="643" w:firstLineChars="200"/>
        <w:rPr>
          <w:rFonts w:eastAsia="仿宋_GB2312"/>
          <w:sz w:val="32"/>
          <w:szCs w:val="32"/>
        </w:rPr>
      </w:pPr>
      <w:r>
        <w:rPr>
          <w:rFonts w:eastAsia="仿宋_GB2312"/>
          <w:b/>
          <w:sz w:val="32"/>
          <w:szCs w:val="32"/>
        </w:rPr>
        <w:t>5．2017年涔天河水库建设项目。</w:t>
      </w:r>
      <w:r>
        <w:rPr>
          <w:rFonts w:eastAsia="仿宋_GB2312"/>
          <w:sz w:val="32"/>
          <w:szCs w:val="32"/>
        </w:rPr>
        <w:t>该项目建成后，社会效益将体现在：一是发挥防洪效益，水库防洪库容将由现在的0.3亿立方米提高到2.5亿立方米，下游潇水沿河两岸城镇特别是江华、道县县城防洪标准由10年一遇提高到50年一遇；二是发挥扶贫效益，通过移民开发式扶贫，为近3万库区林农从根本上解决脱贫致富问题；三是发挥现代农业效益，将灌区成片土地开发与移民生产安置进行对接，为引进农业产业化的战略投资者，发展现代大农业创造了优势条件。</w:t>
      </w:r>
    </w:p>
    <w:p>
      <w:pPr>
        <w:pStyle w:val="3"/>
        <w:keepNext w:val="0"/>
        <w:keepLines w:val="0"/>
        <w:spacing w:line="600" w:lineRule="exact"/>
        <w:ind w:firstLine="643" w:firstLineChars="200"/>
        <w:rPr>
          <w:rFonts w:ascii="Times New Roman" w:hAnsi="Times New Roman" w:eastAsia="楷体_GB2312" w:cs="Times New Roman"/>
        </w:rPr>
      </w:pPr>
      <w:bookmarkStart w:id="48" w:name="_Toc511115266"/>
      <w:bookmarkStart w:id="49" w:name="_Toc512350727"/>
      <w:r>
        <w:rPr>
          <w:rFonts w:ascii="Times New Roman" w:hAnsi="Times New Roman" w:eastAsia="楷体_GB2312" w:cs="Times New Roman"/>
        </w:rPr>
        <w:t>（三）生态环境效益</w:t>
      </w:r>
      <w:bookmarkEnd w:id="48"/>
      <w:bookmarkEnd w:id="49"/>
    </w:p>
    <w:p>
      <w:pPr>
        <w:spacing w:line="600" w:lineRule="exact"/>
        <w:ind w:firstLine="640" w:firstLineChars="200"/>
        <w:rPr>
          <w:rFonts w:eastAsia="仿宋_GB2312"/>
          <w:sz w:val="32"/>
          <w:szCs w:val="32"/>
        </w:rPr>
      </w:pPr>
      <w:r>
        <w:rPr>
          <w:rFonts w:eastAsia="仿宋_GB2312"/>
          <w:sz w:val="32"/>
          <w:szCs w:val="32"/>
        </w:rPr>
        <w:t>2017年度湖南省重大水利工程建设项目在节能效果提升、发挥生态效益、提高水资源利用率、发挥旅游开发效益等方面发挥了重要的生态环境效益。</w:t>
      </w:r>
    </w:p>
    <w:p>
      <w:pPr>
        <w:spacing w:line="600" w:lineRule="exact"/>
        <w:ind w:firstLine="643" w:firstLineChars="200"/>
        <w:rPr>
          <w:rFonts w:eastAsia="仿宋_GB2312"/>
          <w:sz w:val="32"/>
          <w:szCs w:val="32"/>
        </w:rPr>
      </w:pPr>
      <w:r>
        <w:rPr>
          <w:rFonts w:eastAsia="仿宋_GB2312"/>
          <w:b/>
          <w:sz w:val="32"/>
          <w:szCs w:val="32"/>
        </w:rPr>
        <w:t>1．2017年基层水管单位能力建设项目。</w:t>
      </w:r>
      <w:r>
        <w:rPr>
          <w:rFonts w:eastAsia="仿宋_GB2312"/>
          <w:sz w:val="32"/>
          <w:szCs w:val="32"/>
        </w:rPr>
        <w:t>该项目实施后，实现了乡镇水利站人员集中办公，降低了能耗；站房改造后，节能效果提升，降低了对生态环境的破坏。</w:t>
      </w:r>
    </w:p>
    <w:p>
      <w:pPr>
        <w:spacing w:line="600" w:lineRule="exact"/>
        <w:ind w:firstLine="643" w:firstLineChars="200"/>
        <w:rPr>
          <w:rFonts w:eastAsia="仿宋_GB2312"/>
          <w:sz w:val="32"/>
          <w:szCs w:val="32"/>
        </w:rPr>
      </w:pPr>
      <w:r>
        <w:rPr>
          <w:rFonts w:eastAsia="仿宋_GB2312"/>
          <w:b/>
          <w:sz w:val="32"/>
          <w:szCs w:val="32"/>
        </w:rPr>
        <w:t>2．2017年农田水利综合改革试点资金项目和2017年省级小型农田水利建设。</w:t>
      </w:r>
      <w:r>
        <w:rPr>
          <w:rFonts w:eastAsia="仿宋_GB2312"/>
          <w:sz w:val="32"/>
          <w:szCs w:val="32"/>
        </w:rPr>
        <w:t>上述项目实施后，恢复了小型农田水利设施，使项目区域旱能灌、涝能排，同时推广低压管灌、喷滴灌等高效节水措施，节约了土地资源，大大提高了水资源利用率。</w:t>
      </w:r>
    </w:p>
    <w:p>
      <w:pPr>
        <w:spacing w:line="600" w:lineRule="exact"/>
        <w:ind w:firstLine="643" w:firstLineChars="200"/>
        <w:rPr>
          <w:rFonts w:eastAsia="仿宋_GB2312"/>
          <w:sz w:val="32"/>
          <w:szCs w:val="32"/>
        </w:rPr>
      </w:pPr>
      <w:r>
        <w:rPr>
          <w:rFonts w:eastAsia="仿宋_GB2312"/>
          <w:b/>
          <w:sz w:val="32"/>
          <w:szCs w:val="32"/>
        </w:rPr>
        <w:t>3．2017年农业水价综合改革项目</w:t>
      </w:r>
      <w:r>
        <w:rPr>
          <w:rFonts w:eastAsia="仿宋_GB2312"/>
          <w:sz w:val="32"/>
          <w:szCs w:val="32"/>
        </w:rPr>
        <w:t>。该项目通过实施排灌工程措施，可改善水利灌排条件，优化农作物的种植结构，保持水土，防止土地退化，增强中低产农田的土壤肥力和抗灾能力，对于项目区的防风和防治水土流失将会产生极大的作用，使生态防护较之整理以前更有规则，更有秩序。促进土地排灌畅通，有利于防洪排涝，同时也有利于减少水的渗漏流失。</w:t>
      </w:r>
    </w:p>
    <w:p>
      <w:pPr>
        <w:spacing w:line="600" w:lineRule="exact"/>
        <w:ind w:firstLine="643" w:firstLineChars="200"/>
        <w:rPr>
          <w:rFonts w:eastAsia="仿宋_GB2312"/>
          <w:sz w:val="32"/>
          <w:szCs w:val="32"/>
        </w:rPr>
      </w:pPr>
      <w:r>
        <w:rPr>
          <w:rFonts w:eastAsia="仿宋_GB2312"/>
          <w:b/>
          <w:sz w:val="32"/>
          <w:szCs w:val="32"/>
        </w:rPr>
        <w:t>4．2017年莽山水库工程省级配套等省级水利项目。</w:t>
      </w:r>
      <w:r>
        <w:rPr>
          <w:rFonts w:eastAsia="仿宋_GB2312"/>
          <w:sz w:val="32"/>
          <w:szCs w:val="32"/>
        </w:rPr>
        <w:t>上述项目的生态环境效益体现在：</w:t>
      </w:r>
      <w:r>
        <w:rPr>
          <w:rFonts w:hint="eastAsia" w:ascii="宋体" w:hAnsi="宋体" w:eastAsia="宋体" w:cs="宋体"/>
          <w:sz w:val="32"/>
          <w:szCs w:val="32"/>
        </w:rPr>
        <w:t>①</w:t>
      </w:r>
      <w:r>
        <w:rPr>
          <w:rFonts w:eastAsia="仿宋_GB2312"/>
          <w:sz w:val="32"/>
          <w:szCs w:val="32"/>
        </w:rPr>
        <w:t>莽山水库工程将结合紧邻莽山森林公园4A级景区及水库下游温泉带的优势，打造生态、环保、山水一体的休闲养生、观光娱乐等方面的综合旅游开发项目，促进当地区域经济发展，带动村民致富，充分发挥莽山水库项目的综合效益。</w:t>
      </w:r>
      <w:r>
        <w:rPr>
          <w:rFonts w:hint="eastAsia" w:ascii="宋体" w:hAnsi="宋体" w:eastAsia="宋体" w:cs="宋体"/>
          <w:sz w:val="32"/>
          <w:szCs w:val="32"/>
        </w:rPr>
        <w:t>②</w:t>
      </w:r>
      <w:r>
        <w:rPr>
          <w:rFonts w:eastAsia="仿宋_GB2312"/>
          <w:sz w:val="32"/>
          <w:szCs w:val="32"/>
        </w:rPr>
        <w:t>毛俊水库工程将落实水环境保护措施和水生生态保护工作，采取鱼类栖息地、升鱼机和增殖放流等保护措施，编制并实施栖息地生态恢复重建规划，将库区支流漕溪河库尾以上14公里河段、毛俊坝下至俊水汇口11.1公里河段作为鱼类栖息地进行保护，充分发挥生态效益；</w:t>
      </w:r>
      <w:r>
        <w:rPr>
          <w:rFonts w:hint="eastAsia" w:ascii="宋体" w:hAnsi="宋体" w:eastAsia="宋体" w:cs="宋体"/>
          <w:sz w:val="32"/>
          <w:szCs w:val="32"/>
        </w:rPr>
        <w:t>③</w:t>
      </w:r>
      <w:r>
        <w:rPr>
          <w:rFonts w:eastAsia="仿宋_GB2312"/>
          <w:sz w:val="32"/>
          <w:szCs w:val="32"/>
        </w:rPr>
        <w:t>黄盖湖防洪治理工程的布置与天然河势相适应，保持原有河道形态；施工期尽量少占沿河草地，施工期避开鸟类繁殖期、越冬期，减缓施工对鸟类活动的影响。施工结束后将及时对施工迹地等进行生态恢复，极大地保护了生态环境；</w:t>
      </w:r>
      <w:r>
        <w:rPr>
          <w:rFonts w:hint="eastAsia" w:ascii="宋体" w:hAnsi="宋体" w:eastAsia="宋体" w:cs="宋体"/>
          <w:sz w:val="32"/>
          <w:szCs w:val="32"/>
        </w:rPr>
        <w:t>④</w:t>
      </w:r>
      <w:r>
        <w:rPr>
          <w:rFonts w:eastAsia="仿宋_GB2312"/>
          <w:sz w:val="32"/>
          <w:szCs w:val="32"/>
        </w:rPr>
        <w:t>钱粮湖、共双茶、大通湖东垸三垸的工程建设与东洞庭湖国家级自然保护区和南洞庭湖银鱼三角帆蚌国家级水产种质资源保护区等生态敏感区有密切的联系，三大垸的安全建设一期和分洪闸工程完工后，有利于减轻城陵矶附近防汛紧张局面，避免洪水泛滥可能产生的瘟疫流行、钉螺扩散、水质恶化等严重后果。</w:t>
      </w:r>
    </w:p>
    <w:p>
      <w:pPr>
        <w:spacing w:line="600" w:lineRule="exact"/>
        <w:ind w:firstLine="643" w:firstLineChars="200"/>
        <w:rPr>
          <w:rFonts w:eastAsia="仿宋_GB2312"/>
          <w:b/>
          <w:sz w:val="32"/>
          <w:szCs w:val="32"/>
        </w:rPr>
      </w:pPr>
      <w:r>
        <w:rPr>
          <w:rFonts w:eastAsia="仿宋_GB2312"/>
          <w:b/>
          <w:sz w:val="32"/>
          <w:szCs w:val="32"/>
        </w:rPr>
        <w:t>5．2017年涔天河水库建设项目。</w:t>
      </w:r>
      <w:r>
        <w:rPr>
          <w:rFonts w:eastAsia="仿宋_GB2312"/>
          <w:sz w:val="32"/>
          <w:szCs w:val="32"/>
        </w:rPr>
        <w:t>该项目建成后将发挥旅游开发效益，高坝形成的70公里长、面积100多平方公里的广阔水域和数百座岛屿，将成为湘粤桂交界之地的生态休闲旅游核心景区。</w:t>
      </w:r>
    </w:p>
    <w:p>
      <w:pPr>
        <w:pStyle w:val="3"/>
        <w:keepNext w:val="0"/>
        <w:keepLines w:val="0"/>
        <w:spacing w:line="600" w:lineRule="exact"/>
        <w:ind w:firstLine="643" w:firstLineChars="200"/>
        <w:rPr>
          <w:rFonts w:ascii="Times New Roman" w:hAnsi="Times New Roman" w:eastAsia="楷体_GB2312" w:cs="Times New Roman"/>
        </w:rPr>
      </w:pPr>
      <w:bookmarkStart w:id="50" w:name="_Toc511115267"/>
      <w:bookmarkStart w:id="51" w:name="_Toc512350728"/>
      <w:r>
        <w:rPr>
          <w:rFonts w:ascii="Times New Roman" w:hAnsi="Times New Roman" w:eastAsia="楷体_GB2312" w:cs="Times New Roman"/>
        </w:rPr>
        <w:t>（四）</w:t>
      </w:r>
      <w:bookmarkEnd w:id="50"/>
      <w:r>
        <w:rPr>
          <w:rFonts w:ascii="Times New Roman" w:hAnsi="Times New Roman" w:eastAsia="楷体_GB2312" w:cs="Times New Roman"/>
        </w:rPr>
        <w:t>可持续影响</w:t>
      </w:r>
      <w:bookmarkEnd w:id="51"/>
    </w:p>
    <w:p>
      <w:pPr>
        <w:spacing w:line="600" w:lineRule="exact"/>
        <w:ind w:firstLine="640" w:firstLineChars="200"/>
        <w:rPr>
          <w:rFonts w:eastAsia="仿宋_GB2312"/>
          <w:sz w:val="32"/>
          <w:szCs w:val="32"/>
        </w:rPr>
      </w:pPr>
      <w:r>
        <w:rPr>
          <w:rFonts w:eastAsia="仿宋_GB2312"/>
          <w:sz w:val="32"/>
          <w:szCs w:val="32"/>
        </w:rPr>
        <w:t>2017年度湖南省重大水利工程建设项目在档案资料管理完整性、竣工验收及时性、建后管护长效性等方面起到了带动示范效应，获得了人民群众的广泛支持，有利于重大水利工程发挥可持续影响。</w:t>
      </w:r>
    </w:p>
    <w:p>
      <w:pPr>
        <w:spacing w:line="600" w:lineRule="exact"/>
        <w:ind w:firstLine="643" w:firstLineChars="200"/>
        <w:rPr>
          <w:rFonts w:eastAsia="仿宋_GB2312"/>
          <w:sz w:val="32"/>
          <w:szCs w:val="32"/>
        </w:rPr>
      </w:pPr>
      <w:r>
        <w:rPr>
          <w:rFonts w:eastAsia="仿宋_GB2312"/>
          <w:b/>
          <w:sz w:val="32"/>
          <w:szCs w:val="32"/>
        </w:rPr>
        <w:t>1．2017年基层水管单位能力建设项目。</w:t>
      </w:r>
      <w:r>
        <w:rPr>
          <w:rFonts w:eastAsia="仿宋_GB2312"/>
          <w:sz w:val="32"/>
          <w:szCs w:val="32"/>
        </w:rPr>
        <w:t>项目实施后，进一步夯实了基层水利服务基础，基层水管单位在做好水利建设、防汛抗旱、河长制管理、水土保持、安全饮水、河道采砂、水利设施维修养护等方面发挥了根本作用，为粮食安全、脱贫攻坚、乡村振兴打下坚实基础。</w:t>
      </w:r>
    </w:p>
    <w:p>
      <w:pPr>
        <w:spacing w:line="600" w:lineRule="exact"/>
        <w:ind w:firstLine="643" w:firstLineChars="200"/>
        <w:rPr>
          <w:rFonts w:eastAsia="仿宋_GB2312"/>
          <w:sz w:val="32"/>
          <w:szCs w:val="32"/>
        </w:rPr>
      </w:pPr>
      <w:r>
        <w:rPr>
          <w:rFonts w:eastAsia="仿宋_GB2312"/>
          <w:b/>
          <w:sz w:val="32"/>
          <w:szCs w:val="32"/>
        </w:rPr>
        <w:t>2．2017年农田水利综合改革试点资金项目和2017年省级小型农田水利建设项目。</w:t>
      </w:r>
      <w:r>
        <w:rPr>
          <w:rFonts w:eastAsia="仿宋_GB2312"/>
          <w:sz w:val="32"/>
          <w:szCs w:val="32"/>
        </w:rPr>
        <w:t>项目完成后，及时做好工程建设资料整理、归档工作，按照开展农田水利产权制度改革要求，逐一明确管护主体，落实了工程运行管护责任。通过落实农业水价综合改革措施，建立了运行管护经费奖补筹措制度，建立了工程运行维护长效机制，大大延长了工程寿命。</w:t>
      </w:r>
    </w:p>
    <w:p>
      <w:pPr>
        <w:spacing w:line="600" w:lineRule="exact"/>
        <w:ind w:firstLine="643" w:firstLineChars="200"/>
        <w:rPr>
          <w:rFonts w:eastAsia="仿宋_GB2312"/>
          <w:sz w:val="32"/>
          <w:szCs w:val="32"/>
        </w:rPr>
      </w:pPr>
      <w:r>
        <w:rPr>
          <w:rFonts w:eastAsia="仿宋_GB2312"/>
          <w:b/>
          <w:sz w:val="32"/>
          <w:szCs w:val="32"/>
        </w:rPr>
        <w:t>3．2017年农业水价综合改革项目</w:t>
      </w:r>
      <w:r>
        <w:rPr>
          <w:rFonts w:eastAsia="仿宋_GB2312"/>
          <w:sz w:val="32"/>
          <w:szCs w:val="32"/>
        </w:rPr>
        <w:t>。农业水价综合改革项目增强了水管单位活力，灌区水费经营收益将持续稳定地增长。水管单位经济实力的增强又为灌区各项工作顺利开展注入生机和活力，将促进灌区管理体制、经营机制等工作的顺利进行。随着灌区信息自动化监控系统的建设完成，将充分利用现代信息技术，实现农业灌溉信息的采集、输送、存储、处理和服务。为进一步推进农业水价综合改革起到了良好的示范作用、引导作用。</w:t>
      </w:r>
    </w:p>
    <w:p>
      <w:pPr>
        <w:spacing w:line="600" w:lineRule="exact"/>
        <w:ind w:firstLine="643" w:firstLineChars="200"/>
        <w:rPr>
          <w:rFonts w:eastAsia="仿宋_GB2312"/>
          <w:sz w:val="32"/>
          <w:szCs w:val="32"/>
        </w:rPr>
      </w:pPr>
      <w:r>
        <w:rPr>
          <w:rFonts w:eastAsia="仿宋_GB2312"/>
          <w:b/>
          <w:sz w:val="32"/>
          <w:szCs w:val="32"/>
        </w:rPr>
        <w:t>4．2017年莽山水库工程省级配套等省级水利项目。</w:t>
      </w:r>
      <w:r>
        <w:rPr>
          <w:rFonts w:eastAsia="仿宋_GB2312"/>
          <w:sz w:val="32"/>
          <w:szCs w:val="32"/>
        </w:rPr>
        <w:t>上述项目的可持续效益体现在：</w:t>
      </w:r>
      <w:r>
        <w:rPr>
          <w:rFonts w:hint="eastAsia" w:ascii="宋体" w:hAnsi="宋体" w:eastAsia="宋体" w:cs="宋体"/>
          <w:sz w:val="32"/>
          <w:szCs w:val="32"/>
        </w:rPr>
        <w:t>①</w:t>
      </w:r>
      <w:r>
        <w:rPr>
          <w:rFonts w:eastAsia="仿宋_GB2312"/>
          <w:sz w:val="32"/>
          <w:szCs w:val="32"/>
        </w:rPr>
        <w:t>莽山水库工程为保证工程质量，发挥水库的可持续良性效益，制订了《莽山水库工程质量管理和质量检查制度》，参建各方签订了《质量终身责任承认书》,进行规范管理。这也为建立长效管护机制，做好建后管护准备工作，打下良好的基础；</w:t>
      </w:r>
      <w:r>
        <w:rPr>
          <w:rFonts w:hint="eastAsia" w:ascii="宋体" w:hAnsi="宋体" w:eastAsia="宋体" w:cs="宋体"/>
          <w:sz w:val="32"/>
          <w:szCs w:val="32"/>
        </w:rPr>
        <w:t>②</w:t>
      </w:r>
      <w:r>
        <w:rPr>
          <w:rFonts w:eastAsia="仿宋_GB2312"/>
          <w:sz w:val="32"/>
          <w:szCs w:val="32"/>
        </w:rPr>
        <w:t>毛俊水库工程的档案管理严格按照《毛俊水库工程档案管理办法》相关规定进行规范整理。项目工程的设计、施工和验收也严格按照相关法规执行；</w:t>
      </w:r>
      <w:r>
        <w:rPr>
          <w:rFonts w:hint="eastAsia" w:ascii="宋体" w:hAnsi="宋体" w:eastAsia="宋体" w:cs="宋体"/>
          <w:sz w:val="32"/>
          <w:szCs w:val="32"/>
        </w:rPr>
        <w:t>③</w:t>
      </w:r>
      <w:r>
        <w:rPr>
          <w:rFonts w:eastAsia="仿宋_GB2312"/>
          <w:sz w:val="32"/>
          <w:szCs w:val="32"/>
        </w:rPr>
        <w:t>黄盖湖防洪治理工程的档案管理严格按照《工程建设档案管理制度》相关规定进行规范整理，以做好工程建设中有关文件、材料、信息、声像、质检、验收等资料的收集、归档及使用；</w:t>
      </w:r>
      <w:r>
        <w:rPr>
          <w:rFonts w:hint="eastAsia" w:ascii="宋体" w:hAnsi="宋体" w:eastAsia="宋体" w:cs="宋体"/>
          <w:sz w:val="32"/>
          <w:szCs w:val="32"/>
        </w:rPr>
        <w:t>④</w:t>
      </w:r>
      <w:r>
        <w:rPr>
          <w:rFonts w:eastAsia="仿宋_GB2312"/>
          <w:sz w:val="32"/>
          <w:szCs w:val="32"/>
        </w:rPr>
        <w:t>钱粮湖、共双茶、大通湖东垸三垸项目严格按照要求建立长效管护机制，要按照建管同步的要求加强建后管护，确保三大垸从洞庭湖生态经济区发展大局出发，以发挥长远效益。</w:t>
      </w:r>
    </w:p>
    <w:p>
      <w:pPr>
        <w:spacing w:line="600" w:lineRule="exact"/>
        <w:ind w:firstLine="643" w:firstLineChars="200"/>
        <w:rPr>
          <w:rFonts w:eastAsia="仿宋_GB2312"/>
          <w:sz w:val="32"/>
          <w:szCs w:val="32"/>
        </w:rPr>
      </w:pPr>
      <w:r>
        <w:rPr>
          <w:rFonts w:eastAsia="仿宋_GB2312"/>
          <w:b/>
          <w:sz w:val="32"/>
          <w:szCs w:val="32"/>
        </w:rPr>
        <w:t>5．2017年涔天河水库建设项目。</w:t>
      </w:r>
      <w:r>
        <w:rPr>
          <w:rFonts w:eastAsia="仿宋_GB2312"/>
          <w:sz w:val="32"/>
          <w:szCs w:val="32"/>
        </w:rPr>
        <w:t>为实现涔天河项目档案管理的完整、准确、系统及安全，涔天河建设的档案严格按照《涔天河工程档案管理办法》相关规定进行规范整理。工程完工后，严格按照《水利工程建设项目档案验收管理办法》进行验收。为建立长效管护机制，做好建后管护准备工作，涔天河建设单位不断加强水库周边建筑物及边坡安全监测和巡查，做好阶段验收工作，以发挥可持续效益。</w:t>
      </w:r>
    </w:p>
    <w:p>
      <w:pPr>
        <w:pStyle w:val="2"/>
        <w:keepNext w:val="0"/>
        <w:keepLines w:val="0"/>
        <w:spacing w:before="0" w:after="0" w:line="600" w:lineRule="exact"/>
        <w:ind w:firstLine="643" w:firstLineChars="200"/>
        <w:rPr>
          <w:szCs w:val="32"/>
        </w:rPr>
      </w:pPr>
      <w:bookmarkStart w:id="52" w:name="_Toc511115268"/>
      <w:bookmarkStart w:id="53" w:name="_Toc512350729"/>
      <w:r>
        <w:rPr>
          <w:szCs w:val="32"/>
        </w:rPr>
        <w:t>七、问题及建议</w:t>
      </w:r>
      <w:bookmarkEnd w:id="52"/>
      <w:bookmarkEnd w:id="53"/>
    </w:p>
    <w:p>
      <w:pPr>
        <w:pStyle w:val="3"/>
        <w:keepNext w:val="0"/>
        <w:keepLines w:val="0"/>
        <w:spacing w:line="600" w:lineRule="exact"/>
        <w:ind w:firstLine="643" w:firstLineChars="200"/>
        <w:rPr>
          <w:rFonts w:ascii="Times New Roman" w:hAnsi="Times New Roman" w:eastAsia="楷体_GB2312" w:cs="Times New Roman"/>
        </w:rPr>
      </w:pPr>
      <w:bookmarkStart w:id="54" w:name="_Toc512350730"/>
      <w:bookmarkStart w:id="55" w:name="_Toc511115269"/>
      <w:r>
        <w:rPr>
          <w:rFonts w:ascii="Times New Roman" w:hAnsi="Times New Roman" w:eastAsia="楷体_GB2312" w:cs="Times New Roman"/>
        </w:rPr>
        <w:t>（一）存在的问题</w:t>
      </w:r>
      <w:bookmarkEnd w:id="54"/>
      <w:bookmarkEnd w:id="55"/>
    </w:p>
    <w:p>
      <w:pPr>
        <w:pStyle w:val="4"/>
        <w:keepNext w:val="0"/>
        <w:keepLines w:val="0"/>
        <w:spacing w:line="600" w:lineRule="exact"/>
        <w:ind w:left="0" w:leftChars="0" w:firstLine="643" w:firstLineChars="200"/>
        <w:rPr>
          <w:rFonts w:eastAsia="仿宋_GB2312"/>
          <w:sz w:val="32"/>
        </w:rPr>
      </w:pPr>
      <w:bookmarkStart w:id="56" w:name="_Toc512350731"/>
      <w:r>
        <w:rPr>
          <w:rFonts w:eastAsia="仿宋_GB2312"/>
          <w:sz w:val="32"/>
        </w:rPr>
        <w:t>1．部分项目工程进度滞后</w:t>
      </w:r>
      <w:bookmarkEnd w:id="56"/>
    </w:p>
    <w:p>
      <w:pPr>
        <w:spacing w:line="600" w:lineRule="exact"/>
        <w:ind w:firstLine="640" w:firstLineChars="200"/>
        <w:rPr>
          <w:rFonts w:eastAsia="仿宋_GB2312"/>
          <w:sz w:val="32"/>
          <w:szCs w:val="32"/>
        </w:rPr>
      </w:pPr>
      <w:r>
        <w:rPr>
          <w:rFonts w:eastAsia="仿宋_GB2312"/>
          <w:sz w:val="32"/>
          <w:szCs w:val="32"/>
        </w:rPr>
        <w:t>由于部门工程投资概算的核减与实际情况出现偏差，加之在可施工期间，阴雨天气居多，造成项目施工工期延长，影响了工程进度。例如部分县2017年高效节水灌溉项目没有完全完工，怀化鹤城区2017年农业水价综合改革</w:t>
      </w:r>
      <w:r>
        <w:rPr>
          <w:rFonts w:eastAsia="仿宋_GB2312"/>
          <w:b/>
          <w:sz w:val="32"/>
          <w:szCs w:val="32"/>
        </w:rPr>
        <w:t>项目</w:t>
      </w:r>
      <w:r>
        <w:rPr>
          <w:rFonts w:eastAsia="仿宋_GB2312"/>
          <w:sz w:val="32"/>
          <w:szCs w:val="32"/>
        </w:rPr>
        <w:t>由于信息中心和渠道首部自控闸门未安装到位，尚未完工。我厅已要求项目单位合理组织，加快施工进度。</w:t>
      </w:r>
    </w:p>
    <w:p>
      <w:pPr>
        <w:pStyle w:val="4"/>
        <w:keepNext w:val="0"/>
        <w:keepLines w:val="0"/>
        <w:spacing w:line="600" w:lineRule="exact"/>
        <w:ind w:left="0" w:leftChars="0" w:firstLine="643" w:firstLineChars="200"/>
        <w:rPr>
          <w:rFonts w:eastAsia="仿宋_GB2312"/>
          <w:sz w:val="32"/>
        </w:rPr>
      </w:pPr>
      <w:bookmarkStart w:id="57" w:name="_Toc512350732"/>
      <w:r>
        <w:rPr>
          <w:rFonts w:eastAsia="仿宋_GB2312"/>
          <w:sz w:val="32"/>
        </w:rPr>
        <w:t>2．节水奖励及精准补贴机制落实难</w:t>
      </w:r>
      <w:bookmarkEnd w:id="57"/>
    </w:p>
    <w:p>
      <w:pPr>
        <w:spacing w:line="600" w:lineRule="exact"/>
        <w:ind w:firstLine="640" w:firstLineChars="200"/>
        <w:rPr>
          <w:rFonts w:eastAsia="仿宋_GB2312"/>
          <w:sz w:val="32"/>
          <w:szCs w:val="32"/>
        </w:rPr>
      </w:pPr>
      <w:r>
        <w:rPr>
          <w:rFonts w:eastAsia="仿宋_GB2312"/>
          <w:sz w:val="32"/>
          <w:szCs w:val="32"/>
        </w:rPr>
        <w:t>农业水价综合改革各项目县编制的实施方案中，均明确建立农业节水精准补贴机制和节水奖励机制，但根据各项目县反馈情况，由于计量设施正在建设，未成体系，用水者协会刚刚成立等原因，节水奖励及精准补贴未能全部落实。</w:t>
      </w:r>
    </w:p>
    <w:p>
      <w:pPr>
        <w:pStyle w:val="4"/>
        <w:keepNext w:val="0"/>
        <w:keepLines w:val="0"/>
        <w:spacing w:line="600" w:lineRule="exact"/>
        <w:ind w:left="0" w:leftChars="0" w:firstLine="643" w:firstLineChars="200"/>
        <w:rPr>
          <w:rFonts w:eastAsia="仿宋_GB2312"/>
          <w:sz w:val="32"/>
        </w:rPr>
      </w:pPr>
      <w:bookmarkStart w:id="58" w:name="_Toc512350733"/>
      <w:r>
        <w:rPr>
          <w:rFonts w:eastAsia="仿宋_GB2312"/>
          <w:sz w:val="32"/>
        </w:rPr>
        <w:t>3．部分项目资金被县级财政评审核减</w:t>
      </w:r>
      <w:bookmarkEnd w:id="58"/>
    </w:p>
    <w:p>
      <w:pPr>
        <w:spacing w:line="600" w:lineRule="exact"/>
        <w:ind w:firstLine="640" w:firstLineChars="200"/>
        <w:rPr>
          <w:rFonts w:eastAsia="仿宋_GB2312"/>
          <w:sz w:val="32"/>
          <w:szCs w:val="32"/>
        </w:rPr>
      </w:pPr>
      <w:r>
        <w:rPr>
          <w:rFonts w:eastAsia="仿宋_GB2312"/>
          <w:sz w:val="32"/>
          <w:szCs w:val="32"/>
        </w:rPr>
        <w:t>湖南省财政厅以湘财农指〔2017〕76号下达给岳阳县（铁山灌区）400万资金指标用于农业水价综合改革。2017年11月，该项目县进行了财政评审，送审资金包括省级资金400万元及自筹资金20.67万元。经评审，核减了107.44万元，审定金额313.23万元，导致铁山灌区无法完成省级400万元的投资，现铁山灌区正与相关财政部门沟通协商整改。</w:t>
      </w:r>
    </w:p>
    <w:p>
      <w:pPr>
        <w:pStyle w:val="3"/>
        <w:keepNext w:val="0"/>
        <w:keepLines w:val="0"/>
        <w:spacing w:line="600" w:lineRule="exact"/>
        <w:ind w:firstLine="643" w:firstLineChars="200"/>
        <w:rPr>
          <w:rFonts w:ascii="Times New Roman" w:hAnsi="Times New Roman" w:eastAsia="楷体_GB2312" w:cs="Times New Roman"/>
        </w:rPr>
      </w:pPr>
      <w:bookmarkStart w:id="59" w:name="_Toc512350734"/>
      <w:bookmarkStart w:id="60" w:name="_Toc511115270"/>
      <w:r>
        <w:rPr>
          <w:rFonts w:ascii="Times New Roman" w:hAnsi="Times New Roman" w:eastAsia="楷体_GB2312" w:cs="Times New Roman"/>
        </w:rPr>
        <w:t>（二）相关建议</w:t>
      </w:r>
      <w:bookmarkEnd w:id="59"/>
      <w:bookmarkEnd w:id="60"/>
    </w:p>
    <w:p>
      <w:pPr>
        <w:pStyle w:val="4"/>
        <w:keepNext w:val="0"/>
        <w:keepLines w:val="0"/>
        <w:spacing w:line="600" w:lineRule="exact"/>
        <w:ind w:left="0" w:leftChars="0" w:firstLine="643" w:firstLineChars="200"/>
        <w:rPr>
          <w:rFonts w:eastAsia="仿宋_GB2312"/>
          <w:sz w:val="32"/>
        </w:rPr>
      </w:pPr>
      <w:bookmarkStart w:id="61" w:name="_Toc512350735"/>
      <w:r>
        <w:rPr>
          <w:rFonts w:eastAsia="仿宋_GB2312"/>
          <w:sz w:val="32"/>
        </w:rPr>
        <w:t>1．建议加快资金下达</w:t>
      </w:r>
      <w:bookmarkEnd w:id="61"/>
    </w:p>
    <w:p>
      <w:pPr>
        <w:spacing w:line="600" w:lineRule="exact"/>
        <w:ind w:firstLine="640" w:firstLineChars="200"/>
        <w:rPr>
          <w:rFonts w:eastAsia="仿宋_GB2312"/>
          <w:sz w:val="32"/>
          <w:szCs w:val="32"/>
        </w:rPr>
      </w:pPr>
      <w:r>
        <w:rPr>
          <w:rFonts w:eastAsia="仿宋_GB2312"/>
          <w:sz w:val="32"/>
          <w:szCs w:val="32"/>
        </w:rPr>
        <w:t>对按因素法分配且金额相对固定的专项资金，按项目法分配能够明确到具体项目的专项资金，以及暂时无法明确具体项目的，做好项目入库、申报、审批等前期工作，提前下达预算资金，加快工程实施进度。</w:t>
      </w:r>
    </w:p>
    <w:p>
      <w:pPr>
        <w:pStyle w:val="4"/>
        <w:keepNext w:val="0"/>
        <w:keepLines w:val="0"/>
        <w:spacing w:line="600" w:lineRule="exact"/>
        <w:ind w:left="0" w:leftChars="0" w:firstLine="643" w:firstLineChars="200"/>
        <w:rPr>
          <w:rFonts w:eastAsia="仿宋_GB2312"/>
          <w:sz w:val="32"/>
        </w:rPr>
      </w:pPr>
      <w:bookmarkStart w:id="62" w:name="_Toc512350736"/>
      <w:r>
        <w:rPr>
          <w:rFonts w:eastAsia="仿宋_GB2312"/>
          <w:sz w:val="32"/>
        </w:rPr>
        <w:t>2．增大项目资金投入</w:t>
      </w:r>
      <w:bookmarkEnd w:id="62"/>
    </w:p>
    <w:p>
      <w:pPr>
        <w:spacing w:line="600" w:lineRule="exact"/>
        <w:ind w:firstLine="640" w:firstLineChars="200"/>
        <w:rPr>
          <w:rFonts w:eastAsia="仿宋_GB2312"/>
          <w:sz w:val="32"/>
          <w:szCs w:val="32"/>
        </w:rPr>
      </w:pPr>
      <w:r>
        <w:rPr>
          <w:rFonts w:eastAsia="仿宋_GB2312"/>
          <w:sz w:val="32"/>
          <w:szCs w:val="32"/>
        </w:rPr>
        <w:t>由于各地目前各项建设任务繁重，财政资金紧张，地方配套的水利建设资金难以足额配套到位。例如涔天河水库工程、莽山水库工程均存在较大的资金缺口，加之政策影响和物价上涨，资金压力增大；我省农田水利设施建设及维修养护需求非常大，特别是推动乡村振兴、夯实农业发展基础，都需要大量资金投入。</w:t>
      </w:r>
    </w:p>
    <w:p>
      <w:pPr>
        <w:pStyle w:val="4"/>
        <w:keepNext w:val="0"/>
        <w:keepLines w:val="0"/>
        <w:spacing w:line="600" w:lineRule="exact"/>
        <w:ind w:left="0" w:leftChars="0" w:firstLine="643" w:firstLineChars="200"/>
        <w:rPr>
          <w:rFonts w:eastAsia="仿宋_GB2312"/>
          <w:sz w:val="32"/>
        </w:rPr>
      </w:pPr>
      <w:bookmarkStart w:id="63" w:name="_Toc512350737"/>
      <w:r>
        <w:rPr>
          <w:rFonts w:eastAsia="仿宋_GB2312"/>
          <w:sz w:val="32"/>
        </w:rPr>
        <w:t>3．加大项目检查督查力度</w:t>
      </w:r>
      <w:bookmarkEnd w:id="63"/>
    </w:p>
    <w:p>
      <w:pPr>
        <w:spacing w:line="600" w:lineRule="exact"/>
        <w:ind w:firstLine="640" w:firstLineChars="200"/>
        <w:rPr>
          <w:rFonts w:eastAsia="仿宋_GB2312"/>
          <w:sz w:val="32"/>
          <w:szCs w:val="32"/>
        </w:rPr>
      </w:pPr>
      <w:r>
        <w:rPr>
          <w:rFonts w:eastAsia="仿宋_GB2312"/>
          <w:sz w:val="32"/>
          <w:szCs w:val="32"/>
        </w:rPr>
        <w:t>部分项目存在建设进度慢、资金拨付进度滞后情况，建议加大资金、项目检查督查力度，并将检查、评价结果与下年度资金安排挂钩，进一步强化建设管理，切实加快工程建设进度及资金拨付进度，确保资金效益。</w:t>
      </w:r>
    </w:p>
    <w:p>
      <w:pPr>
        <w:pStyle w:val="4"/>
        <w:keepNext w:val="0"/>
        <w:keepLines w:val="0"/>
        <w:spacing w:line="600" w:lineRule="exact"/>
        <w:ind w:left="0" w:leftChars="0" w:firstLine="643" w:firstLineChars="200"/>
        <w:rPr>
          <w:rFonts w:eastAsia="仿宋_GB2312"/>
          <w:sz w:val="32"/>
        </w:rPr>
      </w:pPr>
      <w:bookmarkStart w:id="64" w:name="_Toc512350738"/>
      <w:r>
        <w:rPr>
          <w:rFonts w:eastAsia="仿宋_GB2312"/>
          <w:sz w:val="32"/>
        </w:rPr>
        <w:t>4．完善农业水价综合改革措施</w:t>
      </w:r>
      <w:bookmarkEnd w:id="64"/>
    </w:p>
    <w:p>
      <w:pPr>
        <w:spacing w:line="600" w:lineRule="exact"/>
        <w:ind w:firstLine="640" w:firstLineChars="200"/>
        <w:rPr>
          <w:rFonts w:eastAsia="仿宋_GB2312"/>
          <w:sz w:val="32"/>
          <w:szCs w:val="32"/>
        </w:rPr>
      </w:pPr>
      <w:r>
        <w:rPr>
          <w:rFonts w:eastAsia="仿宋_GB2312"/>
          <w:sz w:val="32"/>
          <w:szCs w:val="32"/>
        </w:rPr>
        <w:t>农民对改变传统灌溉方式和计量收费不理解，节水意识不强，用水水价较低，农民用水合作组织的正常运行难以得到保证。通过节水奖励及精准补贴机制，有利于鼓励用水户节约用水，培养节水意识，保障农民用水合作组织运转。</w:t>
      </w:r>
    </w:p>
    <w:p>
      <w:pPr>
        <w:pStyle w:val="4"/>
        <w:keepNext w:val="0"/>
        <w:keepLines w:val="0"/>
        <w:spacing w:line="600" w:lineRule="exact"/>
        <w:ind w:left="0" w:leftChars="0" w:firstLine="643" w:firstLineChars="200"/>
        <w:rPr>
          <w:rFonts w:eastAsia="仿宋_GB2312"/>
          <w:sz w:val="32"/>
        </w:rPr>
      </w:pPr>
      <w:bookmarkStart w:id="65" w:name="_Toc512350739"/>
      <w:r>
        <w:rPr>
          <w:rFonts w:eastAsia="仿宋_GB2312"/>
          <w:sz w:val="32"/>
        </w:rPr>
        <w:t>5．重视运行管理考核</w:t>
      </w:r>
      <w:bookmarkEnd w:id="65"/>
    </w:p>
    <w:p>
      <w:pPr>
        <w:spacing w:line="600" w:lineRule="exact"/>
        <w:ind w:firstLine="640" w:firstLineChars="200"/>
        <w:rPr>
          <w:rFonts w:eastAsia="仿宋_GB2312"/>
          <w:sz w:val="32"/>
          <w:szCs w:val="32"/>
        </w:rPr>
      </w:pPr>
      <w:r>
        <w:rPr>
          <w:rFonts w:eastAsia="仿宋_GB2312"/>
          <w:sz w:val="32"/>
          <w:szCs w:val="32"/>
        </w:rPr>
        <w:t>部分已完工的水利工程项目，存在建后管护不到位现象，影响项目效益的发挥。建议水利建设工程完工交付运行后，适时组织设施运行管理情况“回头看”检查，检查结果作为资金安排的重要依据。</w:t>
      </w:r>
    </w:p>
    <w:p>
      <w:pPr>
        <w:pStyle w:val="2"/>
        <w:keepNext w:val="0"/>
        <w:keepLines w:val="0"/>
        <w:spacing w:before="0" w:after="0" w:line="600" w:lineRule="exact"/>
        <w:ind w:firstLine="643" w:firstLineChars="200"/>
        <w:rPr>
          <w:szCs w:val="32"/>
        </w:rPr>
      </w:pPr>
      <w:bookmarkStart w:id="66" w:name="_Toc512350740"/>
      <w:r>
        <w:rPr>
          <w:szCs w:val="32"/>
        </w:rPr>
        <w:t>八、重大水利工程建设专项资金在2019年预算中继续保留</w:t>
      </w:r>
      <w:bookmarkEnd w:id="66"/>
    </w:p>
    <w:p>
      <w:pPr>
        <w:spacing w:line="600" w:lineRule="exact"/>
        <w:ind w:firstLine="640" w:firstLineChars="200"/>
        <w:rPr>
          <w:rFonts w:eastAsia="仿宋_GB2312"/>
          <w:sz w:val="32"/>
          <w:szCs w:val="32"/>
        </w:rPr>
      </w:pPr>
      <w:r>
        <w:rPr>
          <w:rFonts w:eastAsia="仿宋_GB2312"/>
          <w:sz w:val="32"/>
          <w:szCs w:val="32"/>
        </w:rPr>
        <w:t>重大水利工程建设专项资金在2019年预算中需要继续保留。</w:t>
      </w:r>
    </w:p>
    <w:p>
      <w:pPr>
        <w:pStyle w:val="3"/>
        <w:keepNext w:val="0"/>
        <w:keepLines w:val="0"/>
        <w:spacing w:line="600" w:lineRule="exact"/>
        <w:ind w:firstLine="643" w:firstLineChars="200"/>
        <w:rPr>
          <w:rFonts w:ascii="Times New Roman" w:hAnsi="Times New Roman" w:eastAsia="楷体_GB2312" w:cs="Times New Roman"/>
        </w:rPr>
      </w:pPr>
      <w:bookmarkStart w:id="67" w:name="_Toc512350741"/>
      <w:r>
        <w:rPr>
          <w:rFonts w:ascii="Times New Roman" w:hAnsi="Times New Roman" w:eastAsia="楷体_GB2312" w:cs="Times New Roman"/>
        </w:rPr>
        <w:t>（一）专项保留依据</w:t>
      </w:r>
      <w:bookmarkEnd w:id="67"/>
    </w:p>
    <w:p>
      <w:pPr>
        <w:spacing w:line="600" w:lineRule="exact"/>
        <w:ind w:firstLine="640" w:firstLineChars="200"/>
        <w:rPr>
          <w:rFonts w:eastAsia="仿宋_GB2312"/>
          <w:sz w:val="32"/>
          <w:szCs w:val="32"/>
        </w:rPr>
      </w:pPr>
      <w:r>
        <w:rPr>
          <w:rFonts w:eastAsia="仿宋_GB2312"/>
          <w:sz w:val="32"/>
          <w:szCs w:val="32"/>
        </w:rPr>
        <w:t>重大水利工程建设项目专项资金重点支持重大水利项目、面上水利项目建设和水利管理等。对加快推进水利建设发展具有非常重要的意义，在防汛抗旱、农业供水、水利管理等方面发挥了积极作用。</w:t>
      </w:r>
    </w:p>
    <w:p>
      <w:pPr>
        <w:spacing w:line="600" w:lineRule="exact"/>
        <w:ind w:firstLine="640" w:firstLineChars="200"/>
        <w:rPr>
          <w:rFonts w:eastAsia="仿宋_GB2312"/>
          <w:sz w:val="32"/>
          <w:szCs w:val="32"/>
        </w:rPr>
      </w:pPr>
      <w:r>
        <w:rPr>
          <w:rFonts w:eastAsia="仿宋_GB2312"/>
          <w:sz w:val="32"/>
          <w:szCs w:val="32"/>
        </w:rPr>
        <w:t>重大水利工程建设专项的主要政策依据有：《湖南省小型农田水利条例》、《中共湖南省委湖南省人民政府关于进一步加强小型农田水利建设的意见》（湘发〔2013〕9号）、《国务院办公厅关于推进农业水价综合改革的意见》（国办发〔2016〕2号）、《水利部关于加强基层水利服务机构能力建设的指导意见》（水农〔2014〕189号）、《深化农田水利改革的指导意见》（水农〔2018〕54号）等。</w:t>
      </w:r>
    </w:p>
    <w:p>
      <w:pPr>
        <w:pStyle w:val="3"/>
        <w:keepNext w:val="0"/>
        <w:keepLines w:val="0"/>
        <w:spacing w:line="600" w:lineRule="exact"/>
        <w:ind w:firstLine="643" w:firstLineChars="200"/>
        <w:rPr>
          <w:rFonts w:ascii="Times New Roman" w:hAnsi="Times New Roman" w:eastAsia="楷体_GB2312" w:cs="Times New Roman"/>
        </w:rPr>
      </w:pPr>
      <w:bookmarkStart w:id="68" w:name="_Toc512350742"/>
      <w:r>
        <w:rPr>
          <w:rFonts w:ascii="Times New Roman" w:hAnsi="Times New Roman" w:eastAsia="楷体_GB2312" w:cs="Times New Roman"/>
        </w:rPr>
        <w:t>（二）下年度主要用途及预算规模建议</w:t>
      </w:r>
      <w:bookmarkEnd w:id="68"/>
    </w:p>
    <w:p>
      <w:pPr>
        <w:spacing w:line="600" w:lineRule="exact"/>
        <w:ind w:firstLine="640" w:firstLineChars="200"/>
        <w:rPr>
          <w:rFonts w:eastAsia="仿宋_GB2312"/>
          <w:sz w:val="32"/>
          <w:szCs w:val="32"/>
        </w:rPr>
      </w:pPr>
      <w:r>
        <w:rPr>
          <w:rFonts w:eastAsia="仿宋_GB2312"/>
          <w:sz w:val="32"/>
          <w:szCs w:val="32"/>
        </w:rPr>
        <w:t>2018年重大水利工程建设专项资金需418000万元，主要用于我省重大水利工程建设和管理。</w:t>
      </w: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r>
        <w:rPr>
          <w:rFonts w:eastAsia="仿宋_GB2312"/>
          <w:sz w:val="32"/>
          <w:szCs w:val="32"/>
        </w:rPr>
        <w:t>附件：1．2017年度省级财政重大水利建设项目绩效评价基础</w:t>
      </w:r>
    </w:p>
    <w:p>
      <w:pPr>
        <w:spacing w:line="600" w:lineRule="exact"/>
        <w:ind w:firstLine="1920" w:firstLineChars="600"/>
        <w:rPr>
          <w:rFonts w:eastAsia="仿宋_GB2312"/>
          <w:sz w:val="32"/>
          <w:szCs w:val="32"/>
        </w:rPr>
      </w:pPr>
      <w:r>
        <w:rPr>
          <w:rFonts w:eastAsia="仿宋_GB2312"/>
          <w:sz w:val="32"/>
          <w:szCs w:val="32"/>
        </w:rPr>
        <w:t>数据表</w:t>
      </w:r>
    </w:p>
    <w:p>
      <w:pPr>
        <w:spacing w:line="600" w:lineRule="exact"/>
        <w:ind w:firstLine="1600" w:firstLineChars="500"/>
        <w:rPr>
          <w:rFonts w:eastAsia="仿宋_GB2312"/>
          <w:sz w:val="32"/>
          <w:szCs w:val="32"/>
        </w:rPr>
      </w:pPr>
      <w:r>
        <w:rPr>
          <w:rFonts w:eastAsia="仿宋_GB2312"/>
          <w:sz w:val="32"/>
          <w:szCs w:val="32"/>
        </w:rPr>
        <w:t>2．2017年度省级财政重大水利工程建设资金绩效评价</w:t>
      </w:r>
    </w:p>
    <w:p>
      <w:pPr>
        <w:spacing w:line="600" w:lineRule="exact"/>
        <w:ind w:firstLine="1920" w:firstLineChars="600"/>
        <w:rPr>
          <w:rFonts w:eastAsia="仿宋_GB2312"/>
          <w:sz w:val="32"/>
          <w:szCs w:val="32"/>
        </w:rPr>
      </w:pPr>
      <w:r>
        <w:rPr>
          <w:rFonts w:eastAsia="仿宋_GB2312"/>
          <w:sz w:val="32"/>
          <w:szCs w:val="32"/>
        </w:rPr>
        <w:t>指标及评分标准</w:t>
      </w:r>
    </w:p>
    <w:p/>
    <w:p/>
    <w:p/>
    <w:sectPr>
      <w:pgSz w:w="11906" w:h="16838"/>
      <w:pgMar w:top="1701" w:right="1418" w:bottom="1701" w:left="1418" w:header="851" w:footer="1418"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华文仿宋">
    <w:altName w:val="仿宋"/>
    <w:panose1 w:val="02010600040101010101"/>
    <w:charset w:val="86"/>
    <w:family w:val="auto"/>
    <w:pitch w:val="default"/>
    <w:sig w:usb0="00000000" w:usb1="00000000" w:usb2="00000010" w:usb3="00000000" w:csb0="0004009F" w:csb1="00000000"/>
  </w:font>
  <w:font w:name="华文楷体">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427560"/>
    </w:sdtPr>
    <w:sdtEndPr>
      <w:rPr>
        <w:sz w:val="28"/>
        <w:szCs w:val="28"/>
      </w:rPr>
    </w:sdtEndPr>
    <w:sdtContent>
      <w:p>
        <w:pPr>
          <w:pStyle w:val="13"/>
          <w:jc w:val="center"/>
          <w:rPr>
            <w:sz w:val="28"/>
            <w:szCs w:val="28"/>
          </w:rPr>
        </w:pPr>
        <w:r>
          <w:rPr>
            <w:sz w:val="28"/>
            <w:szCs w:val="28"/>
          </w:rPr>
          <w:t>—</w:t>
        </w:r>
        <w:r>
          <w:rPr>
            <w:rFonts w:hint="eastAsia"/>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31</w:t>
        </w:r>
        <w:r>
          <w:rPr>
            <w:sz w:val="28"/>
            <w:szCs w:val="28"/>
          </w:rPr>
          <w:fldChar w:fldCharType="end"/>
        </w:r>
        <w:r>
          <w:rPr>
            <w:rFonts w:hint="eastAsia"/>
            <w:sz w:val="28"/>
            <w:szCs w:val="28"/>
          </w:rPr>
          <w:t xml:space="preserve"> </w:t>
        </w:r>
        <w:r>
          <w:rPr>
            <w:sz w:val="28"/>
            <w:szCs w:val="28"/>
          </w:rPr>
          <w:t>—</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7133"/>
    <w:multiLevelType w:val="multilevel"/>
    <w:tmpl w:val="09897133"/>
    <w:lvl w:ilvl="0" w:tentative="0">
      <w:start w:val="1"/>
      <w:numFmt w:val="decimalEnclosedCircle"/>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D"/>
    <w:rsid w:val="00014CE2"/>
    <w:rsid w:val="000267E6"/>
    <w:rsid w:val="00057462"/>
    <w:rsid w:val="00060711"/>
    <w:rsid w:val="000669AA"/>
    <w:rsid w:val="0007069B"/>
    <w:rsid w:val="00071539"/>
    <w:rsid w:val="000857B7"/>
    <w:rsid w:val="000879E9"/>
    <w:rsid w:val="000C7CF5"/>
    <w:rsid w:val="000D22E6"/>
    <w:rsid w:val="000F3FDF"/>
    <w:rsid w:val="000F568F"/>
    <w:rsid w:val="00106AC1"/>
    <w:rsid w:val="001372B9"/>
    <w:rsid w:val="0014449E"/>
    <w:rsid w:val="001458FA"/>
    <w:rsid w:val="0015705F"/>
    <w:rsid w:val="0017276D"/>
    <w:rsid w:val="0018212E"/>
    <w:rsid w:val="00192CAF"/>
    <w:rsid w:val="001A261F"/>
    <w:rsid w:val="001A4D65"/>
    <w:rsid w:val="001B5BD0"/>
    <w:rsid w:val="001F0D47"/>
    <w:rsid w:val="002229C1"/>
    <w:rsid w:val="0023081F"/>
    <w:rsid w:val="00260564"/>
    <w:rsid w:val="00265B78"/>
    <w:rsid w:val="00265E23"/>
    <w:rsid w:val="00276D4C"/>
    <w:rsid w:val="00283458"/>
    <w:rsid w:val="002A13D2"/>
    <w:rsid w:val="002A6B7E"/>
    <w:rsid w:val="002B78B6"/>
    <w:rsid w:val="002D46D6"/>
    <w:rsid w:val="002E12CF"/>
    <w:rsid w:val="002E2435"/>
    <w:rsid w:val="002E3600"/>
    <w:rsid w:val="00300899"/>
    <w:rsid w:val="0031374D"/>
    <w:rsid w:val="003234F0"/>
    <w:rsid w:val="0032704B"/>
    <w:rsid w:val="00341CB9"/>
    <w:rsid w:val="00391C66"/>
    <w:rsid w:val="00393027"/>
    <w:rsid w:val="003A655B"/>
    <w:rsid w:val="003B3423"/>
    <w:rsid w:val="003B7518"/>
    <w:rsid w:val="003C2208"/>
    <w:rsid w:val="003C409D"/>
    <w:rsid w:val="003D45BC"/>
    <w:rsid w:val="003E3B9E"/>
    <w:rsid w:val="003F2346"/>
    <w:rsid w:val="003F6627"/>
    <w:rsid w:val="00400336"/>
    <w:rsid w:val="00416E5D"/>
    <w:rsid w:val="00435FAF"/>
    <w:rsid w:val="0044363B"/>
    <w:rsid w:val="00443965"/>
    <w:rsid w:val="00451E8D"/>
    <w:rsid w:val="00470175"/>
    <w:rsid w:val="00474D72"/>
    <w:rsid w:val="004A53D2"/>
    <w:rsid w:val="004B6518"/>
    <w:rsid w:val="004F2103"/>
    <w:rsid w:val="00511DEA"/>
    <w:rsid w:val="00544E99"/>
    <w:rsid w:val="00544F1A"/>
    <w:rsid w:val="00550221"/>
    <w:rsid w:val="005650F7"/>
    <w:rsid w:val="00574F28"/>
    <w:rsid w:val="00591170"/>
    <w:rsid w:val="005D240D"/>
    <w:rsid w:val="005E6F95"/>
    <w:rsid w:val="005F16A4"/>
    <w:rsid w:val="00600F6E"/>
    <w:rsid w:val="0060439C"/>
    <w:rsid w:val="0063031F"/>
    <w:rsid w:val="00634F47"/>
    <w:rsid w:val="0063760B"/>
    <w:rsid w:val="006411E7"/>
    <w:rsid w:val="00641CFF"/>
    <w:rsid w:val="00654CC4"/>
    <w:rsid w:val="00687699"/>
    <w:rsid w:val="00692B71"/>
    <w:rsid w:val="00696B06"/>
    <w:rsid w:val="006A4777"/>
    <w:rsid w:val="006B5589"/>
    <w:rsid w:val="006C4505"/>
    <w:rsid w:val="00701AFA"/>
    <w:rsid w:val="007113A3"/>
    <w:rsid w:val="007121FC"/>
    <w:rsid w:val="00754CD6"/>
    <w:rsid w:val="007565EA"/>
    <w:rsid w:val="00762015"/>
    <w:rsid w:val="007A69C4"/>
    <w:rsid w:val="007C721D"/>
    <w:rsid w:val="007F20F4"/>
    <w:rsid w:val="00801911"/>
    <w:rsid w:val="0082607B"/>
    <w:rsid w:val="00830812"/>
    <w:rsid w:val="00832E06"/>
    <w:rsid w:val="0084769C"/>
    <w:rsid w:val="00855304"/>
    <w:rsid w:val="0085767F"/>
    <w:rsid w:val="00862511"/>
    <w:rsid w:val="00881C95"/>
    <w:rsid w:val="008A2F52"/>
    <w:rsid w:val="008A40B7"/>
    <w:rsid w:val="008A45CE"/>
    <w:rsid w:val="008B1D7F"/>
    <w:rsid w:val="009034B1"/>
    <w:rsid w:val="00917AA4"/>
    <w:rsid w:val="0092755A"/>
    <w:rsid w:val="009470A9"/>
    <w:rsid w:val="00956A25"/>
    <w:rsid w:val="00957B20"/>
    <w:rsid w:val="00975440"/>
    <w:rsid w:val="009A3E0F"/>
    <w:rsid w:val="009E4FD4"/>
    <w:rsid w:val="00A13D10"/>
    <w:rsid w:val="00A14251"/>
    <w:rsid w:val="00A15D03"/>
    <w:rsid w:val="00A2580F"/>
    <w:rsid w:val="00A411B6"/>
    <w:rsid w:val="00A6050C"/>
    <w:rsid w:val="00A703FF"/>
    <w:rsid w:val="00A8182E"/>
    <w:rsid w:val="00A851D9"/>
    <w:rsid w:val="00AB31A8"/>
    <w:rsid w:val="00AB37EF"/>
    <w:rsid w:val="00AC09C0"/>
    <w:rsid w:val="00AD1BA0"/>
    <w:rsid w:val="00AD35BD"/>
    <w:rsid w:val="00AD73AE"/>
    <w:rsid w:val="00AF1D56"/>
    <w:rsid w:val="00AF253B"/>
    <w:rsid w:val="00B0508E"/>
    <w:rsid w:val="00B20708"/>
    <w:rsid w:val="00B3639D"/>
    <w:rsid w:val="00B42DE0"/>
    <w:rsid w:val="00B44558"/>
    <w:rsid w:val="00B6099B"/>
    <w:rsid w:val="00B81F78"/>
    <w:rsid w:val="00B86CF1"/>
    <w:rsid w:val="00B92341"/>
    <w:rsid w:val="00B928EB"/>
    <w:rsid w:val="00B96B68"/>
    <w:rsid w:val="00BB32FE"/>
    <w:rsid w:val="00BB4B68"/>
    <w:rsid w:val="00BD1F4E"/>
    <w:rsid w:val="00BE524D"/>
    <w:rsid w:val="00BF1D5F"/>
    <w:rsid w:val="00C30DA7"/>
    <w:rsid w:val="00C417A0"/>
    <w:rsid w:val="00C47CF5"/>
    <w:rsid w:val="00C5158C"/>
    <w:rsid w:val="00C648EB"/>
    <w:rsid w:val="00C72A43"/>
    <w:rsid w:val="00C80BA6"/>
    <w:rsid w:val="00C818F5"/>
    <w:rsid w:val="00CA427A"/>
    <w:rsid w:val="00CB5C58"/>
    <w:rsid w:val="00CC716E"/>
    <w:rsid w:val="00CD21F8"/>
    <w:rsid w:val="00CE2B68"/>
    <w:rsid w:val="00CF1F29"/>
    <w:rsid w:val="00CF2B80"/>
    <w:rsid w:val="00CF3614"/>
    <w:rsid w:val="00CF483F"/>
    <w:rsid w:val="00D16FC9"/>
    <w:rsid w:val="00D172FC"/>
    <w:rsid w:val="00D22611"/>
    <w:rsid w:val="00D25CA2"/>
    <w:rsid w:val="00D317C5"/>
    <w:rsid w:val="00D35F0D"/>
    <w:rsid w:val="00D67475"/>
    <w:rsid w:val="00D8118B"/>
    <w:rsid w:val="00DB0E50"/>
    <w:rsid w:val="00E1215B"/>
    <w:rsid w:val="00E1223F"/>
    <w:rsid w:val="00E14395"/>
    <w:rsid w:val="00E20F02"/>
    <w:rsid w:val="00E22D9B"/>
    <w:rsid w:val="00E245DA"/>
    <w:rsid w:val="00E72D7A"/>
    <w:rsid w:val="00EA3A3D"/>
    <w:rsid w:val="00EC0C7E"/>
    <w:rsid w:val="00EE01DB"/>
    <w:rsid w:val="00EE1187"/>
    <w:rsid w:val="00EF05A4"/>
    <w:rsid w:val="00F06094"/>
    <w:rsid w:val="00F212FD"/>
    <w:rsid w:val="00F24C66"/>
    <w:rsid w:val="00F270D6"/>
    <w:rsid w:val="00F27C06"/>
    <w:rsid w:val="00F449B6"/>
    <w:rsid w:val="00F8117C"/>
    <w:rsid w:val="00FA402C"/>
    <w:rsid w:val="00FC0777"/>
    <w:rsid w:val="00FC1F8F"/>
    <w:rsid w:val="00FC6FA8"/>
    <w:rsid w:val="00FD1CAA"/>
    <w:rsid w:val="01E8112B"/>
    <w:rsid w:val="04FA201F"/>
    <w:rsid w:val="058854CE"/>
    <w:rsid w:val="378B2776"/>
    <w:rsid w:val="38A071C7"/>
    <w:rsid w:val="3A3E596E"/>
    <w:rsid w:val="47C932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华文仿宋" w:cs="Times New Roman"/>
      <w:kern w:val="2"/>
      <w:sz w:val="30"/>
      <w:szCs w:val="21"/>
      <w:lang w:val="en-US" w:eastAsia="zh-CN" w:bidi="ar-SA"/>
    </w:rPr>
  </w:style>
  <w:style w:type="paragraph" w:styleId="2">
    <w:name w:val="heading 1"/>
    <w:basedOn w:val="1"/>
    <w:next w:val="1"/>
    <w:link w:val="24"/>
    <w:qFormat/>
    <w:uiPriority w:val="9"/>
    <w:pPr>
      <w:keepNext/>
      <w:keepLines/>
      <w:spacing w:before="340" w:after="330" w:line="578" w:lineRule="auto"/>
      <w:outlineLvl w:val="0"/>
    </w:pPr>
    <w:rPr>
      <w:rFonts w:eastAsia="黑体"/>
      <w:b/>
      <w:bCs/>
      <w:kern w:val="44"/>
      <w:sz w:val="32"/>
      <w:szCs w:val="44"/>
    </w:rPr>
  </w:style>
  <w:style w:type="paragraph" w:styleId="3">
    <w:name w:val="heading 2"/>
    <w:basedOn w:val="1"/>
    <w:next w:val="1"/>
    <w:link w:val="25"/>
    <w:unhideWhenUsed/>
    <w:qFormat/>
    <w:uiPriority w:val="9"/>
    <w:pPr>
      <w:keepNext/>
      <w:keepLines/>
      <w:outlineLvl w:val="1"/>
    </w:pPr>
    <w:rPr>
      <w:rFonts w:eastAsia="华文楷体" w:asciiTheme="majorHAnsi" w:hAnsiTheme="majorHAnsi" w:cstheme="majorBidi"/>
      <w:b/>
      <w:bCs/>
      <w:sz w:val="32"/>
      <w:szCs w:val="32"/>
    </w:rPr>
  </w:style>
  <w:style w:type="paragraph" w:styleId="4">
    <w:name w:val="heading 3"/>
    <w:basedOn w:val="1"/>
    <w:next w:val="1"/>
    <w:link w:val="26"/>
    <w:unhideWhenUsed/>
    <w:qFormat/>
    <w:uiPriority w:val="9"/>
    <w:pPr>
      <w:keepNext/>
      <w:keepLines/>
      <w:ind w:left="200" w:leftChars="200"/>
      <w:outlineLvl w:val="2"/>
    </w:pPr>
    <w:rPr>
      <w:b/>
      <w:bCs/>
      <w:szCs w:val="32"/>
    </w:rPr>
  </w:style>
  <w:style w:type="paragraph" w:styleId="5">
    <w:name w:val="heading 4"/>
    <w:basedOn w:val="1"/>
    <w:next w:val="1"/>
    <w:link w:val="27"/>
    <w:unhideWhenUsed/>
    <w:qFormat/>
    <w:uiPriority w:val="9"/>
    <w:pPr>
      <w:keepNext/>
      <w:keepLines/>
      <w:spacing w:line="377" w:lineRule="auto"/>
      <w:outlineLvl w:val="3"/>
    </w:pPr>
    <w:rPr>
      <w:rFonts w:asciiTheme="majorHAnsi" w:hAnsiTheme="majorHAnsi" w:cstheme="majorBidi"/>
      <w:b/>
      <w:bCs/>
      <w:szCs w:val="28"/>
    </w:rPr>
  </w:style>
  <w:style w:type="character" w:default="1" w:styleId="18">
    <w:name w:val="Default Paragraph Font"/>
    <w:unhideWhenUsed/>
    <w:qFormat/>
    <w:uiPriority w:val="1"/>
  </w:style>
  <w:style w:type="table" w:default="1" w:styleId="21">
    <w:name w:val="Normal Table"/>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36"/>
    <w:unhideWhenUsed/>
    <w:qFormat/>
    <w:uiPriority w:val="99"/>
    <w:rPr>
      <w:b/>
      <w:bCs/>
    </w:rPr>
  </w:style>
  <w:style w:type="paragraph" w:styleId="7">
    <w:name w:val="annotation text"/>
    <w:basedOn w:val="1"/>
    <w:link w:val="35"/>
    <w:unhideWhenUsed/>
    <w:uiPriority w:val="99"/>
    <w:pPr>
      <w:jc w:val="left"/>
    </w:pPr>
  </w:style>
  <w:style w:type="paragraph" w:styleId="8">
    <w:name w:val="caption"/>
    <w:basedOn w:val="1"/>
    <w:next w:val="1"/>
    <w:unhideWhenUsed/>
    <w:qFormat/>
    <w:uiPriority w:val="35"/>
    <w:pPr>
      <w:spacing w:line="240" w:lineRule="atLeast"/>
    </w:pPr>
    <w:rPr>
      <w:rFonts w:eastAsia="黑体" w:asciiTheme="majorHAnsi" w:hAnsiTheme="majorHAnsi" w:cstheme="majorBidi"/>
      <w:sz w:val="20"/>
      <w:szCs w:val="20"/>
    </w:rPr>
  </w:style>
  <w:style w:type="paragraph" w:styleId="9">
    <w:name w:val="Document Map"/>
    <w:basedOn w:val="1"/>
    <w:link w:val="32"/>
    <w:unhideWhenUsed/>
    <w:qFormat/>
    <w:uiPriority w:val="99"/>
    <w:rPr>
      <w:rFonts w:ascii="宋体" w:eastAsia="宋体"/>
      <w:sz w:val="18"/>
      <w:szCs w:val="18"/>
    </w:rPr>
  </w:style>
  <w:style w:type="paragraph" w:styleId="10">
    <w:name w:val="toc 3"/>
    <w:basedOn w:val="1"/>
    <w:next w:val="1"/>
    <w:unhideWhenUsed/>
    <w:qFormat/>
    <w:uiPriority w:val="39"/>
    <w:pPr>
      <w:ind w:left="840" w:leftChars="400"/>
    </w:pPr>
  </w:style>
  <w:style w:type="paragraph" w:styleId="11">
    <w:name w:val="Date"/>
    <w:basedOn w:val="1"/>
    <w:next w:val="1"/>
    <w:link w:val="33"/>
    <w:unhideWhenUsed/>
    <w:qFormat/>
    <w:uiPriority w:val="99"/>
    <w:pPr>
      <w:ind w:left="100" w:leftChars="2500"/>
    </w:pPr>
  </w:style>
  <w:style w:type="paragraph" w:styleId="12">
    <w:name w:val="Balloon Text"/>
    <w:basedOn w:val="1"/>
    <w:link w:val="34"/>
    <w:unhideWhenUsed/>
    <w:qFormat/>
    <w:uiPriority w:val="99"/>
    <w:rPr>
      <w:sz w:val="18"/>
      <w:szCs w:val="18"/>
    </w:rPr>
  </w:style>
  <w:style w:type="paragraph" w:styleId="13">
    <w:name w:val="footer"/>
    <w:basedOn w:val="1"/>
    <w:link w:val="23"/>
    <w:unhideWhenUsed/>
    <w:qFormat/>
    <w:uiPriority w:val="99"/>
    <w:pPr>
      <w:tabs>
        <w:tab w:val="center" w:pos="4153"/>
        <w:tab w:val="right" w:pos="8306"/>
      </w:tabs>
      <w:snapToGrid w:val="0"/>
      <w:jc w:val="left"/>
    </w:pPr>
    <w:rPr>
      <w:sz w:val="18"/>
      <w:szCs w:val="18"/>
    </w:rPr>
  </w:style>
  <w:style w:type="paragraph" w:styleId="14">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uiPriority w:val="39"/>
  </w:style>
  <w:style w:type="paragraph" w:styleId="16">
    <w:name w:val="Subtitle"/>
    <w:basedOn w:val="1"/>
    <w:next w:val="1"/>
    <w:link w:val="28"/>
    <w:qFormat/>
    <w:uiPriority w:val="99"/>
    <w:pPr>
      <w:spacing w:before="240" w:after="60" w:line="312" w:lineRule="auto"/>
      <w:jc w:val="center"/>
      <w:outlineLvl w:val="1"/>
    </w:pPr>
    <w:rPr>
      <w:rFonts w:ascii="Cambria" w:hAnsi="Cambria"/>
      <w:b/>
      <w:bCs/>
      <w:kern w:val="28"/>
      <w:sz w:val="32"/>
      <w:szCs w:val="32"/>
    </w:rPr>
  </w:style>
  <w:style w:type="paragraph" w:styleId="17">
    <w:name w:val="toc 2"/>
    <w:basedOn w:val="1"/>
    <w:next w:val="1"/>
    <w:unhideWhenUsed/>
    <w:uiPriority w:val="39"/>
    <w:pPr>
      <w:ind w:left="420" w:leftChars="200"/>
    </w:pPr>
  </w:style>
  <w:style w:type="character" w:styleId="19">
    <w:name w:val="Hyperlink"/>
    <w:basedOn w:val="18"/>
    <w:unhideWhenUsed/>
    <w:uiPriority w:val="99"/>
    <w:rPr>
      <w:color w:val="0000FF" w:themeColor="hyperlink"/>
      <w:u w:val="single"/>
      <w14:textFill>
        <w14:solidFill>
          <w14:schemeClr w14:val="hlink"/>
        </w14:solidFill>
      </w14:textFill>
    </w:rPr>
  </w:style>
  <w:style w:type="character" w:styleId="20">
    <w:name w:val="annotation reference"/>
    <w:basedOn w:val="18"/>
    <w:unhideWhenUsed/>
    <w:uiPriority w:val="99"/>
    <w:rPr>
      <w:sz w:val="21"/>
      <w:szCs w:val="21"/>
    </w:rPr>
  </w:style>
  <w:style w:type="character" w:customStyle="1" w:styleId="22">
    <w:name w:val="页眉 Char"/>
    <w:basedOn w:val="18"/>
    <w:link w:val="14"/>
    <w:uiPriority w:val="99"/>
    <w:rPr>
      <w:sz w:val="18"/>
      <w:szCs w:val="18"/>
    </w:rPr>
  </w:style>
  <w:style w:type="character" w:customStyle="1" w:styleId="23">
    <w:name w:val="页脚 Char"/>
    <w:basedOn w:val="18"/>
    <w:link w:val="13"/>
    <w:qFormat/>
    <w:uiPriority w:val="99"/>
    <w:rPr>
      <w:sz w:val="18"/>
      <w:szCs w:val="18"/>
    </w:rPr>
  </w:style>
  <w:style w:type="character" w:customStyle="1" w:styleId="24">
    <w:name w:val="标题 1 Char"/>
    <w:basedOn w:val="18"/>
    <w:link w:val="2"/>
    <w:uiPriority w:val="9"/>
    <w:rPr>
      <w:rFonts w:ascii="Times New Roman" w:hAnsi="Times New Roman" w:eastAsia="黑体" w:cs="Times New Roman"/>
      <w:b/>
      <w:bCs/>
      <w:kern w:val="44"/>
      <w:sz w:val="32"/>
      <w:szCs w:val="44"/>
    </w:rPr>
  </w:style>
  <w:style w:type="character" w:customStyle="1" w:styleId="25">
    <w:name w:val="标题 2 Char"/>
    <w:basedOn w:val="18"/>
    <w:link w:val="3"/>
    <w:uiPriority w:val="9"/>
    <w:rPr>
      <w:rFonts w:eastAsia="华文楷体" w:asciiTheme="majorHAnsi" w:hAnsiTheme="majorHAnsi" w:cstheme="majorBidi"/>
      <w:b/>
      <w:bCs/>
      <w:sz w:val="32"/>
      <w:szCs w:val="32"/>
    </w:rPr>
  </w:style>
  <w:style w:type="character" w:customStyle="1" w:styleId="26">
    <w:name w:val="标题 3 Char"/>
    <w:basedOn w:val="18"/>
    <w:link w:val="4"/>
    <w:uiPriority w:val="9"/>
    <w:rPr>
      <w:rFonts w:ascii="Times New Roman" w:hAnsi="Times New Roman" w:eastAsia="仿宋" w:cs="Times New Roman"/>
      <w:b/>
      <w:bCs/>
      <w:sz w:val="30"/>
      <w:szCs w:val="32"/>
    </w:rPr>
  </w:style>
  <w:style w:type="character" w:customStyle="1" w:styleId="27">
    <w:name w:val="标题 4 Char"/>
    <w:basedOn w:val="18"/>
    <w:link w:val="5"/>
    <w:uiPriority w:val="9"/>
    <w:rPr>
      <w:rFonts w:eastAsia="仿宋" w:asciiTheme="majorHAnsi" w:hAnsiTheme="majorHAnsi" w:cstheme="majorBidi"/>
      <w:b/>
      <w:bCs/>
      <w:sz w:val="30"/>
      <w:szCs w:val="28"/>
    </w:rPr>
  </w:style>
  <w:style w:type="character" w:customStyle="1" w:styleId="28">
    <w:name w:val="副标题 Char"/>
    <w:basedOn w:val="18"/>
    <w:link w:val="16"/>
    <w:uiPriority w:val="99"/>
    <w:rPr>
      <w:rFonts w:ascii="Cambria" w:hAnsi="Cambria" w:eastAsia="仿宋" w:cs="Times New Roman"/>
      <w:b/>
      <w:bCs/>
      <w:kern w:val="28"/>
      <w:sz w:val="32"/>
      <w:szCs w:val="32"/>
    </w:rPr>
  </w:style>
  <w:style w:type="paragraph" w:customStyle="1" w:styleId="29">
    <w:name w:val="无间隔1"/>
    <w:qFormat/>
    <w:uiPriority w:val="1"/>
    <w:pPr>
      <w:widowControl w:val="0"/>
      <w:jc w:val="both"/>
    </w:pPr>
    <w:rPr>
      <w:rFonts w:ascii="Times New Roman" w:hAnsi="Times New Roman" w:eastAsia="宋体" w:cs="Times New Roman"/>
      <w:kern w:val="2"/>
      <w:sz w:val="21"/>
      <w:szCs w:val="21"/>
      <w:lang w:val="en-US" w:eastAsia="zh-CN" w:bidi="ar-SA"/>
    </w:rPr>
  </w:style>
  <w:style w:type="paragraph" w:customStyle="1" w:styleId="3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31">
    <w:name w:val="列出段落1"/>
    <w:basedOn w:val="1"/>
    <w:qFormat/>
    <w:uiPriority w:val="34"/>
    <w:pPr>
      <w:ind w:firstLine="420" w:firstLineChars="200"/>
    </w:pPr>
  </w:style>
  <w:style w:type="character" w:customStyle="1" w:styleId="32">
    <w:name w:val="文档结构图 Char"/>
    <w:basedOn w:val="18"/>
    <w:link w:val="9"/>
    <w:semiHidden/>
    <w:uiPriority w:val="99"/>
    <w:rPr>
      <w:rFonts w:ascii="宋体" w:hAnsi="Times New Roman" w:eastAsia="宋体" w:cs="Times New Roman"/>
      <w:sz w:val="18"/>
      <w:szCs w:val="18"/>
    </w:rPr>
  </w:style>
  <w:style w:type="character" w:customStyle="1" w:styleId="33">
    <w:name w:val="日期 Char"/>
    <w:basedOn w:val="18"/>
    <w:link w:val="11"/>
    <w:semiHidden/>
    <w:uiPriority w:val="99"/>
    <w:rPr>
      <w:rFonts w:ascii="Times New Roman" w:hAnsi="Times New Roman" w:eastAsia="仿宋" w:cs="Times New Roman"/>
      <w:sz w:val="30"/>
      <w:szCs w:val="21"/>
    </w:rPr>
  </w:style>
  <w:style w:type="character" w:customStyle="1" w:styleId="34">
    <w:name w:val="批注框文本 Char"/>
    <w:basedOn w:val="18"/>
    <w:link w:val="12"/>
    <w:semiHidden/>
    <w:uiPriority w:val="99"/>
    <w:rPr>
      <w:rFonts w:ascii="Times New Roman" w:hAnsi="Times New Roman" w:eastAsia="仿宋" w:cs="Times New Roman"/>
      <w:sz w:val="18"/>
      <w:szCs w:val="18"/>
    </w:rPr>
  </w:style>
  <w:style w:type="character" w:customStyle="1" w:styleId="35">
    <w:name w:val="批注文字 Char"/>
    <w:basedOn w:val="18"/>
    <w:link w:val="7"/>
    <w:semiHidden/>
    <w:uiPriority w:val="99"/>
    <w:rPr>
      <w:rFonts w:ascii="Times New Roman" w:hAnsi="Times New Roman" w:eastAsia="华文仿宋" w:cs="Times New Roman"/>
      <w:sz w:val="30"/>
      <w:szCs w:val="21"/>
    </w:rPr>
  </w:style>
  <w:style w:type="character" w:customStyle="1" w:styleId="36">
    <w:name w:val="批注主题 Char"/>
    <w:basedOn w:val="35"/>
    <w:link w:val="6"/>
    <w:semiHidden/>
    <w:uiPriority w:val="99"/>
    <w:rPr>
      <w:rFonts w:ascii="Times New Roman" w:hAnsi="Times New Roman" w:eastAsia="华文仿宋" w:cs="Times New Roman"/>
      <w:b/>
      <w:bCs/>
      <w:sz w:val="3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07962B-0F3F-4ED0-8C9E-CDE40435E6E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3363</Words>
  <Characters>19172</Characters>
  <Lines>159</Lines>
  <Paragraphs>44</Paragraphs>
  <TotalTime>0</TotalTime>
  <ScaleCrop>false</ScaleCrop>
  <LinksUpToDate>false</LinksUpToDate>
  <CharactersWithSpaces>22491</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2018-04-13T06:01:00Z</dcterms:created>
  <dc:creator>冯咸熙</dc:creator>
  <cp:lastModifiedBy>Administrator</cp:lastModifiedBy>
  <cp:lastPrinted>2018-04-27T01:54:00Z</cp:lastPrinted>
  <dcterms:modified xsi:type="dcterms:W3CDTF">2018-04-27T06:50:52Z</dcterms:modified>
  <dc:title>2017年度湖南省重大水利工程建设专项资金绩效自评报告</dc:title>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ies>
</file>