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1-1</w:t>
      </w:r>
    </w:p>
    <w:tbl>
      <w:tblPr>
        <w:tblStyle w:val="2"/>
        <w:tblW w:w="106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07"/>
        <w:gridCol w:w="1707"/>
        <w:gridCol w:w="1232"/>
        <w:gridCol w:w="1243"/>
        <w:gridCol w:w="1306"/>
        <w:gridCol w:w="658"/>
        <w:gridCol w:w="830"/>
        <w:gridCol w:w="1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1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eastAsia="方正小标宋_GBK"/>
                <w:color w:val="000000"/>
                <w:kern w:val="0"/>
                <w:sz w:val="36"/>
                <w:szCs w:val="36"/>
              </w:rPr>
              <w:t>2020年度部门整体支出</w:t>
            </w: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绩效自评表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95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株洲市水文局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资金情况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执行率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得分（分值</w:t>
            </w:r>
            <w:r>
              <w:rPr>
                <w:rFonts w:ascii="Arial" w:hAnsi="Arial" w:eastAsia="仿宋_GB2312" w:cs="Arial"/>
                <w:color w:val="000000"/>
                <w:kern w:val="0"/>
                <w:szCs w:val="21"/>
              </w:rPr>
              <w:t>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执行率）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275.02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358.04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358.04</w:t>
            </w: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100%</w:t>
            </w: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10</w:t>
            </w: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275.02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358.04　</w:t>
            </w:r>
          </w:p>
        </w:tc>
        <w:tc>
          <w:tcPr>
            <w:tcW w:w="13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630" w:firstLineChars="3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630" w:firstLineChars="300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spacing w:line="21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exact"/>
          <w:jc w:val="center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全面履职，单位各项工作均有序正常展开，定期举办党建学习、工会、团委活动。为全省防汛抗旱、水资源开发利用与管理、水环境监测保护、水工程建设和运行管理提供技术和服务支撑。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确保人水和谐，全面落实各项水质监测任务提高防汛减灾预报水平。</w:t>
            </w:r>
          </w:p>
        </w:tc>
        <w:tc>
          <w:tcPr>
            <w:tcW w:w="3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定期举行党建学习，其中中心组学习8次以上，按季度展开工会及团委活动。完成本年度水文勘测、预报、分析、水文水资源调查评价的归口管理，做好了全市境内站网布局与规划、建设和维护工作。防汛成效明显，预测准确及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水情预警预报次数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≥10次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11次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水情服务信息发布条数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≥2.5万条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≥3万条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发布雨水旱情分析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ab/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≥200期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212期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水情预报合格率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90%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达到90%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设施维修质量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ab/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达标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达标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水文设施维护及时率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各项支出控制在预算批复内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减少洪水对经济的影响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间接效益明显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间接效益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明显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水文设施运转社会贡献率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ab/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汛期对群众的生命、财产安全产生了间接效益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间接效益明显，政府满意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效益明显，地方政府部门满意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水功能区水质达标率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不低80%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达80%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标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设施维护完成度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ab/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对象满意度指标</w:t>
            </w:r>
          </w:p>
        </w:tc>
        <w:tc>
          <w:tcPr>
            <w:tcW w:w="123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服务的地方政府部门满意度</w:t>
            </w:r>
          </w:p>
        </w:tc>
        <w:tc>
          <w:tcPr>
            <w:tcW w:w="124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间接效益明显，政府满意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主要市领导批复，对我局工作高度评价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等级：优</w:t>
            </w:r>
          </w:p>
        </w:tc>
      </w:tr>
    </w:tbl>
    <w:p>
      <w:pPr>
        <w:spacing w:line="320" w:lineRule="exact"/>
        <w:ind w:left="630" w:hanging="630" w:hangingChars="300"/>
        <w:jc w:val="left"/>
        <w:rPr>
          <w:rFonts w:eastAsia="仿宋_GB2312"/>
          <w:b/>
          <w:szCs w:val="21"/>
        </w:rPr>
      </w:pPr>
      <w:r>
        <w:rPr>
          <w:rFonts w:hint="eastAsia" w:eastAsia="仿宋_GB2312"/>
          <w:szCs w:val="21"/>
        </w:rPr>
        <w:t>备注：1.“执行率”=“全年执行数”/“全年预算数”；</w:t>
      </w:r>
    </w:p>
    <w:p>
      <w:pPr>
        <w:spacing w:line="320" w:lineRule="exact"/>
        <w:ind w:left="960" w:hanging="960" w:hangingChars="300"/>
        <w:jc w:val="left"/>
        <w:rPr>
          <w:rFonts w:eastAsia="楷体_GB2312"/>
          <w:b/>
          <w:szCs w:val="21"/>
        </w:rPr>
      </w:pP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eastAsia="仿宋_GB2312"/>
          <w:szCs w:val="21"/>
        </w:rPr>
        <w:t xml:space="preserve">   2.</w:t>
      </w:r>
      <w:r>
        <w:rPr>
          <w:rFonts w:eastAsia="仿宋_GB2312"/>
          <w:szCs w:val="21"/>
        </w:rPr>
        <w:t>总分设置为100分</w:t>
      </w:r>
      <w:r>
        <w:rPr>
          <w:rFonts w:hint="eastAsia" w:eastAsia="仿宋_GB2312"/>
          <w:szCs w:val="21"/>
        </w:rPr>
        <w:t>，</w:t>
      </w:r>
      <w:r>
        <w:rPr>
          <w:rFonts w:eastAsia="仿宋_GB2312"/>
          <w:szCs w:val="21"/>
        </w:rPr>
        <w:t>等级划分为：90分（含）—100分为优，80分（含）—90分为良，60分（含）—80分为</w:t>
      </w:r>
      <w:r>
        <w:rPr>
          <w:rFonts w:hint="eastAsia" w:eastAsia="仿宋_GB2312"/>
          <w:szCs w:val="21"/>
        </w:rPr>
        <w:t>中</w:t>
      </w:r>
      <w:r>
        <w:rPr>
          <w:rFonts w:eastAsia="仿宋_GB2312"/>
          <w:szCs w:val="21"/>
        </w:rPr>
        <w:t>，60分以下为差。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E3EB9"/>
    <w:rsid w:val="721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2021-07-22T09:00:00Z</dcterms:created>
  <dc:creator>夏鑫科</dc:creator>
  <cp:lastModifiedBy>夏鑫科</cp:lastModifiedBy>
  <dcterms:modified xsi:type="dcterms:W3CDTF">2021-07-22T09:01:49Z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B0C1053C809044B19AC01138474B56EC</vt:lpwstr>
  </property>
</Properties>
</file>